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C29B1" w14:textId="7A5B1C13" w:rsidR="002513B9" w:rsidRDefault="00000000">
      <w:pPr>
        <w:pStyle w:val="Title"/>
        <w:framePr w:wrap="notBeside"/>
      </w:pPr>
      <w:r>
        <w:t>Comments for</w:t>
      </w:r>
      <w:r w:rsidR="002B70C9">
        <w:br/>
      </w:r>
      <w:r>
        <w:t>Matthew Cashen</w:t>
      </w:r>
    </w:p>
    <w:p w14:paraId="76485D6A" w14:textId="77777777" w:rsidR="002513B9" w:rsidRDefault="00000000">
      <w:pPr>
        <w:pStyle w:val="Subtitle"/>
      </w:pPr>
      <w:r>
        <w:t>“Angela the Diplomat”</w:t>
      </w:r>
      <w:r>
        <w:br/>
        <w:t>Illinois Philosophical Association Conference</w:t>
      </w:r>
    </w:p>
    <w:p w14:paraId="51349DD9" w14:textId="77777777" w:rsidR="002513B9" w:rsidRDefault="00000000">
      <w:pPr>
        <w:pStyle w:val="Author"/>
      </w:pPr>
      <w:r>
        <w:t>Christopher L. Holland</w:t>
      </w:r>
    </w:p>
    <w:p w14:paraId="6A986EB6" w14:textId="77777777" w:rsidR="002513B9" w:rsidRDefault="00000000">
      <w:pPr>
        <w:pStyle w:val="Date"/>
      </w:pPr>
      <w:r>
        <w:t>November 4, 2023</w:t>
      </w:r>
    </w:p>
    <w:p w14:paraId="74DC36FF" w14:textId="77777777" w:rsidR="002513B9" w:rsidRDefault="00000000">
      <w:pPr>
        <w:pStyle w:val="FirstParagraph"/>
      </w:pPr>
      <w:r>
        <w:t>Matthew Caschen (2023a, 2023b) argues that Neera Badhwar’s (2014) neo-Aristotelian theory of well-being is inconsistent. Cashen motivates his approach with a revised version of a thought experiment by Dan Haybron (2007, 2008). I’ll begin with a summary of Cashen’s challenge, then sketch one approach for resolving the alleged inconsistency.</w:t>
      </w:r>
    </w:p>
    <w:p w14:paraId="3F36D0A5" w14:textId="77777777" w:rsidR="002513B9" w:rsidRDefault="00000000">
      <w:pPr>
        <w:pStyle w:val="Heading1"/>
      </w:pPr>
      <w:bookmarkStart w:id="0" w:name="happiness-in-a-worthwhile-life"/>
      <w:r>
        <w:t>1. Happiness in a Worthwhile Life</w:t>
      </w:r>
    </w:p>
    <w:p w14:paraId="34EF1518" w14:textId="77777777" w:rsidR="002513B9" w:rsidRDefault="00000000">
      <w:pPr>
        <w:pStyle w:val="FirstParagraph"/>
      </w:pPr>
      <w:r>
        <w:t xml:space="preserve">According to Badhwar, well-being “consists of happiness in an objectively worthwhile life” (23). It is a consequence of the theory that both </w:t>
      </w:r>
      <w:proofErr w:type="gramStart"/>
      <w:r>
        <w:t>virtue</w:t>
      </w:r>
      <w:proofErr w:type="gramEnd"/>
      <w:r>
        <w:t xml:space="preserve">, as a feature of objective worth, and happiness are “partly constitutive” of well-being (33–48). Here, “well-being” stands in for Aristotle’s term </w:t>
      </w:r>
      <w:r>
        <w:rPr>
          <w:i/>
          <w:iCs/>
        </w:rPr>
        <w:t>eudaimonia</w:t>
      </w:r>
      <w:r>
        <w:t xml:space="preserve"> (4) and “happiness” denotes “a long-term psychological state” that disposes its possessor to find life both enjoyable and meaningful (33–40).</w:t>
      </w:r>
    </w:p>
    <w:p w14:paraId="53091AAD" w14:textId="77777777" w:rsidR="002513B9" w:rsidRDefault="00000000">
      <w:pPr>
        <w:pStyle w:val="BodyText"/>
      </w:pPr>
      <w:r>
        <w:t xml:space="preserve">External goods, or as Cashen refers to them, </w:t>
      </w:r>
      <w:proofErr w:type="gramStart"/>
      <w:r>
        <w:t>happy-makers</w:t>
      </w:r>
      <w:proofErr w:type="gramEnd"/>
      <w:r>
        <w:t>, play an important role in Badhwar’s theory.</w:t>
      </w:r>
    </w:p>
    <w:p w14:paraId="1F513A56" w14:textId="77777777" w:rsidR="002513B9" w:rsidRDefault="00000000">
      <w:pPr>
        <w:pStyle w:val="BlockText"/>
      </w:pPr>
      <w:r>
        <w:t xml:space="preserve">External goods like reputation, wealth, health, decent friends, and a presentable appearance fulfill certain </w:t>
      </w:r>
      <w:r>
        <w:lastRenderedPageBreak/>
        <w:t>deep needs that cannot be fulfilled without them, no matter how virtuous our lives. We can be virtuous even if we lack these external goods</w:t>
      </w:r>
      <w:proofErr w:type="gramStart"/>
      <w:r>
        <w:t>. . . .</w:t>
      </w:r>
      <w:proofErr w:type="gramEnd"/>
      <w:r>
        <w:t xml:space="preserve"> But it is only if we both possess these goods and respond to them, or use them, according to virtue, that we can enjoyably exercise many of our powers and capacities and satisfy our basic human needs for society, security, and pleasure. (200)</w:t>
      </w:r>
    </w:p>
    <w:p w14:paraId="0A37C6C5" w14:textId="77777777" w:rsidR="002513B9" w:rsidRDefault="00000000">
      <w:pPr>
        <w:pStyle w:val="FirstParagraph"/>
      </w:pPr>
      <w:r>
        <w:t xml:space="preserve">Cashen’s charge of inconsistency centers on Badhwar’s account of </w:t>
      </w:r>
      <w:proofErr w:type="gramStart"/>
      <w:r>
        <w:t>happy-makers</w:t>
      </w:r>
      <w:proofErr w:type="gramEnd"/>
      <w:r>
        <w:t>. “Badhwar,” he claims,</w:t>
      </w:r>
    </w:p>
    <w:p w14:paraId="18D118A9" w14:textId="77777777" w:rsidR="002513B9" w:rsidRDefault="00000000">
      <w:pPr>
        <w:pStyle w:val="BlockText"/>
      </w:pPr>
      <w:r>
        <w:t>cannot consistently maintain both her general position that well-being is happiness in an objectively good life, where an objectively good life is a life of virtue, and the specific claim that [</w:t>
      </w:r>
      <w:proofErr w:type="gramStart"/>
      <w:r>
        <w:t>happy-makers</w:t>
      </w:r>
      <w:proofErr w:type="gramEnd"/>
      <w:r>
        <w:t>] enhance well-being as “sources of happiness in their own right.” (Cashen 2023a, sec. 2)​</w:t>
      </w:r>
      <w:r>
        <w:rPr>
          <w:rStyle w:val="FootnoteReference"/>
        </w:rPr>
        <w:footnoteReference w:id="1"/>
      </w:r>
    </w:p>
    <w:p w14:paraId="28ABBB80" w14:textId="77777777" w:rsidR="002513B9" w:rsidRDefault="00000000">
      <w:pPr>
        <w:pStyle w:val="Heading1"/>
      </w:pPr>
      <w:bookmarkStart w:id="1" w:name="angela-the-diplomat"/>
      <w:bookmarkEnd w:id="0"/>
      <w:r>
        <w:t>2. Angela the Diplomat</w:t>
      </w:r>
    </w:p>
    <w:p w14:paraId="5F44E880" w14:textId="77777777" w:rsidR="002513B9" w:rsidRDefault="00000000">
      <w:pPr>
        <w:pStyle w:val="FirstParagraph"/>
      </w:pPr>
      <w:r>
        <w:t xml:space="preserve">Cashen first motivates this claim by asking that we imagine parallel lives for a diplomat named Angela (a thought experiment first put forward by Haybron (2007, 8–11; 2008, 161–63)). In the first life, Angela postpones a much-desired early retirement to help avert a bloody conflict. Angela succeeds and, in the process, exercises more virtue but experiences less happiness in this season of her life. In the second version of her life, Angela retires </w:t>
      </w:r>
      <w:r>
        <w:lastRenderedPageBreak/>
        <w:t xml:space="preserve">early with no regrets. She is decidedly </w:t>
      </w:r>
      <w:proofErr w:type="gramStart"/>
      <w:r>
        <w:t>more happy</w:t>
      </w:r>
      <w:proofErr w:type="gramEnd"/>
      <w:r>
        <w:t xml:space="preserve"> but exercises fewer virtues.</w:t>
      </w:r>
    </w:p>
    <w:p w14:paraId="71986FE2" w14:textId="77777777" w:rsidR="002513B9" w:rsidRDefault="00000000">
      <w:pPr>
        <w:pStyle w:val="BodyText"/>
      </w:pPr>
      <w:r>
        <w:t>Haybron crafted Angela’s story to highlight the intuitive implausibility of perfectionist well-being theories—that is, any theory that makes excellence or virtue a welfare constituent.</w:t>
      </w:r>
      <w:r>
        <w:rPr>
          <w:rStyle w:val="FootnoteReference"/>
        </w:rPr>
        <w:footnoteReference w:id="2"/>
      </w:r>
      <w:r>
        <w:t xml:space="preserve"> Cashen, however, revises the story, intending to highlight an inconsistency in Badhwar’s theory. We are now to imagine that retired Angela is not only happier but that at least some of her happiness results from vice.</w:t>
      </w:r>
    </w:p>
    <w:p w14:paraId="000914D6" w14:textId="77777777" w:rsidR="002513B9" w:rsidRDefault="00000000">
      <w:pPr>
        <w:pStyle w:val="BodyText"/>
      </w:pPr>
      <w:r>
        <w:t>I believe that Angela’s revised retirement story is plausible and that it offers a substantive challenge to the intuitive plausibility of neo-Aristotelian theories. Moreover, there are some features of Badhwar’s theory—for example, her rejecting global virtue and making happiness partly constitutive of well-being—that lend plausibility to this new version of Angela.</w:t>
      </w:r>
    </w:p>
    <w:p w14:paraId="77710039" w14:textId="77777777" w:rsidR="002513B9" w:rsidRDefault="00000000">
      <w:pPr>
        <w:pStyle w:val="BodyText"/>
      </w:pPr>
      <w:r>
        <w:t>However, the whole point of the story (and I ask that Cashen correct me on this point if I’m mistaken) is to elicit something like the following rejoinder from neo-Aristotelian well-being theorists: Virtue is a necessary condition for well-being. Either it is impossible to acquire happiness from vice or happiness acquired from vice is not worth having (i.e., worthless happiness does not contribute to a person’s well-being).</w:t>
      </w:r>
      <w:r>
        <w:rPr>
          <w:rStyle w:val="FootnoteReference"/>
        </w:rPr>
        <w:footnoteReference w:id="3"/>
      </w:r>
      <w:r>
        <w:t xml:space="preserve"> Cashen’s next step is to take this claim and combine it with other parts of Badhwar’s theory to uncover a contradiction.</w:t>
      </w:r>
    </w:p>
    <w:p w14:paraId="45228A89" w14:textId="77777777" w:rsidR="002513B9" w:rsidRDefault="00000000">
      <w:pPr>
        <w:pStyle w:val="Heading1"/>
      </w:pPr>
      <w:bookmarkStart w:id="2" w:name="the-happy-makers-dilemma"/>
      <w:bookmarkEnd w:id="1"/>
      <w:r>
        <w:t>3. The Happy-Makers Dilemma</w:t>
      </w:r>
    </w:p>
    <w:p w14:paraId="59298C99" w14:textId="77777777" w:rsidR="002513B9" w:rsidRDefault="00000000">
      <w:pPr>
        <w:pStyle w:val="FirstParagraph"/>
      </w:pPr>
      <w:r>
        <w:t>At this point, Cashen’s argument takes the form of a dilemma:</w:t>
      </w:r>
    </w:p>
    <w:p w14:paraId="2A03B9D4" w14:textId="77777777" w:rsidR="002513B9" w:rsidRDefault="00000000">
      <w:pPr>
        <w:pStyle w:val="BlockText"/>
      </w:pPr>
      <w:r>
        <w:lastRenderedPageBreak/>
        <w:t xml:space="preserve">if, on the one hand, happy makers enhance </w:t>
      </w:r>
      <w:proofErr w:type="gramStart"/>
      <w:r>
        <w:t>wellbeing in their own right, then</w:t>
      </w:r>
      <w:proofErr w:type="gramEnd"/>
      <w:r>
        <w:t xml:space="preserve"> [Badhwar] cannot say they do so only when used virtuously, that is, when qualified in the right way; but if, on the other hand, they enhance wellbeing only when used virtuously, then happy makers don’t themselves enhance wellbeing. (Cashen 2023b, sec. 5)​​</w:t>
      </w:r>
    </w:p>
    <w:p w14:paraId="6BFCB13C" w14:textId="77777777" w:rsidR="002513B9" w:rsidRDefault="00000000">
      <w:pPr>
        <w:pStyle w:val="FirstParagraph"/>
      </w:pPr>
      <w:r>
        <w:t>If we add these conditionals to the theory, Badhwar is stuck with the following formally inconsistent set:</w:t>
      </w:r>
    </w:p>
    <w:p w14:paraId="582845FA" w14:textId="77777777" w:rsidR="002513B9" w:rsidRDefault="00000000">
      <w:pPr>
        <w:pStyle w:val="Compact"/>
        <w:numPr>
          <w:ilvl w:val="0"/>
          <w:numId w:val="66"/>
        </w:numPr>
      </w:pPr>
      <w:proofErr w:type="gramStart"/>
      <w:r>
        <w:t>Happy-makers</w:t>
      </w:r>
      <w:proofErr w:type="gramEnd"/>
      <w:r>
        <w:t xml:space="preserve"> are sources of </w:t>
      </w:r>
      <w:proofErr w:type="gramStart"/>
      <w:r>
        <w:t>well-being in their own right</w:t>
      </w:r>
      <w:proofErr w:type="gramEnd"/>
      <w:r>
        <w:t>.</w:t>
      </w:r>
    </w:p>
    <w:p w14:paraId="1C117957" w14:textId="77777777" w:rsidR="002513B9" w:rsidRDefault="00000000">
      <w:pPr>
        <w:pStyle w:val="Compact"/>
        <w:numPr>
          <w:ilvl w:val="0"/>
          <w:numId w:val="66"/>
        </w:numPr>
      </w:pPr>
      <w:proofErr w:type="gramStart"/>
      <w:r>
        <w:t>Happy-makers</w:t>
      </w:r>
      <w:proofErr w:type="gramEnd"/>
      <w:r>
        <w:t xml:space="preserve"> are sources of well-being only insofar as we use them or respond to them in accordance with virtue.</w:t>
      </w:r>
    </w:p>
    <w:p w14:paraId="6568B933" w14:textId="77777777" w:rsidR="002513B9" w:rsidRDefault="00000000">
      <w:pPr>
        <w:pStyle w:val="Compact"/>
        <w:numPr>
          <w:ilvl w:val="0"/>
          <w:numId w:val="66"/>
        </w:numPr>
      </w:pPr>
      <w:r>
        <w:t xml:space="preserve">If happy-makers are sources of </w:t>
      </w:r>
      <w:proofErr w:type="gramStart"/>
      <w:r>
        <w:t>well-being in their own right, then</w:t>
      </w:r>
      <w:proofErr w:type="gramEnd"/>
      <w:r>
        <w:t xml:space="preserve"> happy-makers are </w:t>
      </w:r>
      <w:r>
        <w:rPr>
          <w:i/>
          <w:iCs/>
        </w:rPr>
        <w:t>not</w:t>
      </w:r>
      <w:r>
        <w:t xml:space="preserve"> sources of well-being only insofar as we use them or respond to them in accordance with virtue.</w:t>
      </w:r>
    </w:p>
    <w:p w14:paraId="7D95B503" w14:textId="77777777" w:rsidR="002513B9" w:rsidRDefault="00000000">
      <w:pPr>
        <w:pStyle w:val="Compact"/>
        <w:numPr>
          <w:ilvl w:val="0"/>
          <w:numId w:val="66"/>
        </w:numPr>
      </w:pPr>
      <w:r>
        <w:t xml:space="preserve">If happy-makers are sources of well-being only insofar as we use them or respond to them in accordance with virtue, then happy-makers are </w:t>
      </w:r>
      <w:r>
        <w:rPr>
          <w:i/>
          <w:iCs/>
        </w:rPr>
        <w:t>not</w:t>
      </w:r>
      <w:r>
        <w:t xml:space="preserve"> sources of </w:t>
      </w:r>
      <w:proofErr w:type="gramStart"/>
      <w:r>
        <w:t>well-being in their own right</w:t>
      </w:r>
      <w:proofErr w:type="gramEnd"/>
      <w:r>
        <w:t>.</w:t>
      </w:r>
    </w:p>
    <w:p w14:paraId="734E2BF9" w14:textId="77777777" w:rsidR="002513B9" w:rsidRDefault="00000000">
      <w:pPr>
        <w:pStyle w:val="Heading1"/>
      </w:pPr>
      <w:bookmarkStart w:id="3" w:name="against-inconsistency"/>
      <w:bookmarkEnd w:id="2"/>
      <w:r>
        <w:t>4. Against Inconsistency</w:t>
      </w:r>
    </w:p>
    <w:p w14:paraId="18F9E147" w14:textId="77777777" w:rsidR="002513B9" w:rsidRDefault="00000000">
      <w:pPr>
        <w:pStyle w:val="FirstParagraph"/>
      </w:pPr>
      <w:r>
        <w:t>I will now try to defend the consistency of Badhwar’s theory.</w:t>
      </w:r>
    </w:p>
    <w:p w14:paraId="454410F9" w14:textId="77777777" w:rsidR="002513B9" w:rsidRDefault="00000000">
      <w:pPr>
        <w:pStyle w:val="BodyText"/>
      </w:pPr>
      <w:r>
        <w:t>Propositions 1 and 2 are internal to the theory; propositions 3 and 4 are principles external to the theory. To demonstrate inconsistency, Cashen must hold that 3 and 4 are conceptual truths. However, if I can show that it is conceptually possible to deny 3 and 4, then I can ward off Cashen’s conclusion.</w:t>
      </w:r>
      <w:r>
        <w:rPr>
          <w:rStyle w:val="FootnoteReference"/>
        </w:rPr>
        <w:footnoteReference w:id="4"/>
      </w:r>
    </w:p>
    <w:p w14:paraId="5F4BF26D" w14:textId="77777777" w:rsidR="002513B9" w:rsidRDefault="00000000">
      <w:pPr>
        <w:pStyle w:val="BodyText"/>
      </w:pPr>
      <w:r>
        <w:t xml:space="preserve">I propose that Badhwar’s theory can avoid inconsistency by adopting a powers approach to instrumental value. The view I have in mind has been developed by Dale Dorsey (2021, 50–60). </w:t>
      </w:r>
      <w:r>
        <w:lastRenderedPageBreak/>
        <w:t xml:space="preserve">He begins by drawing a distinction between instrumental value and being instrumental </w:t>
      </w:r>
      <w:r>
        <w:rPr>
          <w:i/>
          <w:iCs/>
        </w:rPr>
        <w:t>to</w:t>
      </w:r>
      <w:r>
        <w:t xml:space="preserve"> value. Something is “instrumental to value,” he notes, “if its actual consequences are, on balance, good” (50). Something is instrumentally valuable if it has the power or disposition to be instrumental to value, where a “</w:t>
      </w:r>
      <w:r>
        <w:rPr>
          <w:i/>
          <w:iCs/>
        </w:rPr>
        <w:t>disposition</w:t>
      </w:r>
      <w:r>
        <w:t xml:space="preserve"> or </w:t>
      </w:r>
      <w:r>
        <w:rPr>
          <w:i/>
          <w:iCs/>
        </w:rPr>
        <w:t>power</w:t>
      </w:r>
      <w:r>
        <w:t xml:space="preserve"> is a property that attributes to an object the tendency to behave in a certain way assuming certain conditions obtain” (53). These “certain conditions” are commonly referred to as activation conditions.</w:t>
      </w:r>
    </w:p>
    <w:p w14:paraId="7FA034DB" w14:textId="77777777" w:rsidR="002513B9" w:rsidRDefault="00000000">
      <w:pPr>
        <w:pStyle w:val="BodyText"/>
      </w:pPr>
      <w:r>
        <w:t>Here is an illustration to motivate the view.</w:t>
      </w:r>
    </w:p>
    <w:p w14:paraId="4018C007" w14:textId="77777777" w:rsidR="002513B9" w:rsidRDefault="00000000">
      <w:pPr>
        <w:pStyle w:val="DefinitionTerm"/>
      </w:pPr>
      <w:r>
        <w:t>Nefertiti’s Tomb</w:t>
      </w:r>
    </w:p>
    <w:p w14:paraId="108B99CC" w14:textId="77777777" w:rsidR="002513B9" w:rsidRDefault="00000000">
      <w:pPr>
        <w:pStyle w:val="Definition"/>
      </w:pPr>
      <w:r>
        <w:t>Nefertiti’s tomb is finally found. Within lies a vast treasure of immense value. Unfortunately, the tomb has an infallible security system that incinerates the contents when breached.</w:t>
      </w:r>
    </w:p>
    <w:p w14:paraId="5697E500" w14:textId="77777777" w:rsidR="002513B9" w:rsidRDefault="00000000">
      <w:pPr>
        <w:pStyle w:val="FirstParagraph"/>
      </w:pPr>
      <w:r>
        <w:t xml:space="preserve">Given the infallible trap, there are no actual circumstances in which the treasure can be </w:t>
      </w:r>
      <w:proofErr w:type="gramStart"/>
      <w:r>
        <w:t>put to use</w:t>
      </w:r>
      <w:proofErr w:type="gramEnd"/>
      <w:r>
        <w:t>. It follows that the treasure is not instrumental to value. But, even sealed in the tomb, this treasure possesses the power to be instrumental to value. In other words, given the right activation conditions, the treasure will manifest the power of being sold at auction or displayed in the Cairo Museum.</w:t>
      </w:r>
    </w:p>
    <w:p w14:paraId="1C390C31" w14:textId="77777777" w:rsidR="002513B9" w:rsidRDefault="00000000">
      <w:pPr>
        <w:pStyle w:val="BodyText"/>
      </w:pPr>
      <w:r>
        <w:t>Now, let’s see if we can use the powers theory of instrumental value to generate a neo-Aristotelian account of happy-makers that avoids Cashen’s happy-makers dilemma.</w:t>
      </w:r>
    </w:p>
    <w:p w14:paraId="53956973" w14:textId="77777777" w:rsidR="002513B9" w:rsidRDefault="00000000">
      <w:pPr>
        <w:pStyle w:val="DefinitionTerm"/>
      </w:pPr>
      <w:r>
        <w:t>Happy-Makers</w:t>
      </w:r>
    </w:p>
    <w:p w14:paraId="25FB3CB7" w14:textId="77777777" w:rsidR="002513B9" w:rsidRDefault="00000000">
      <w:pPr>
        <w:pStyle w:val="Definition"/>
      </w:pPr>
      <w:proofErr w:type="gramStart"/>
      <w:r>
        <w:t>Happy-makers</w:t>
      </w:r>
      <w:proofErr w:type="gramEnd"/>
      <w:r>
        <w:t xml:space="preserve"> are instrumentally prudentially valuable objects, states, or events that possess the power to make human lives happy. </w:t>
      </w:r>
      <w:proofErr w:type="gramStart"/>
      <w:r>
        <w:t>All of</w:t>
      </w:r>
      <w:proofErr w:type="gramEnd"/>
      <w:r>
        <w:t xml:space="preserve"> the activation conditions for this power require that they be used or responded to in accordance with virtue.</w:t>
      </w:r>
    </w:p>
    <w:p w14:paraId="32550D73" w14:textId="77777777" w:rsidR="002513B9" w:rsidRDefault="00000000">
      <w:pPr>
        <w:pStyle w:val="FirstParagraph"/>
      </w:pPr>
      <w:r>
        <w:t xml:space="preserve">On this account, every </w:t>
      </w:r>
      <w:proofErr w:type="gramStart"/>
      <w:r>
        <w:t>happy-maker</w:t>
      </w:r>
      <w:proofErr w:type="gramEnd"/>
      <w:r>
        <w:t xml:space="preserve"> has the power or disposition to make human lives happy. It is this power that allows </w:t>
      </w:r>
      <w:proofErr w:type="gramStart"/>
      <w:r>
        <w:lastRenderedPageBreak/>
        <w:t>happy-makers</w:t>
      </w:r>
      <w:proofErr w:type="gramEnd"/>
      <w:r>
        <w:t xml:space="preserve"> to be sources of happiness and well-being “in their own right.” Nevertheless, all </w:t>
      </w:r>
      <w:proofErr w:type="gramStart"/>
      <w:r>
        <w:t>happy-makers</w:t>
      </w:r>
      <w:proofErr w:type="gramEnd"/>
      <w:r>
        <w:t xml:space="preserve"> possess a set of activation conditions that preclude the manifestation of this power outside the scope of virtuous use or response.</w:t>
      </w:r>
    </w:p>
    <w:p w14:paraId="03F1CDDF" w14:textId="77777777" w:rsidR="002513B9" w:rsidRDefault="00000000">
      <w:pPr>
        <w:pStyle w:val="BodyText"/>
      </w:pPr>
      <w:r>
        <w:t xml:space="preserve">I grant that this account of </w:t>
      </w:r>
      <w:proofErr w:type="gramStart"/>
      <w:r>
        <w:t>happy-makers</w:t>
      </w:r>
      <w:proofErr w:type="gramEnd"/>
      <w:r>
        <w:t xml:space="preserve"> is implausible. It does, however, suffice to show the consistency of Badhwar’s account in the face of Cashen’s objection.</w:t>
      </w:r>
    </w:p>
    <w:p w14:paraId="6E73965C" w14:textId="77777777" w:rsidR="002513B9" w:rsidRDefault="00000000">
      <w:pPr>
        <w:pStyle w:val="Heading1"/>
      </w:pPr>
      <w:bookmarkStart w:id="4" w:name="references"/>
      <w:bookmarkEnd w:id="3"/>
      <w:r>
        <w:t>References</w:t>
      </w:r>
    </w:p>
    <w:p w14:paraId="635C4A05" w14:textId="77777777" w:rsidR="002513B9" w:rsidRDefault="00000000">
      <w:pPr>
        <w:pStyle w:val="Bibliography"/>
      </w:pPr>
      <w:bookmarkStart w:id="5" w:name="ref-Badhwar.2014"/>
      <w:bookmarkStart w:id="6" w:name="refs"/>
      <w:r>
        <w:t xml:space="preserve">Badhwar, Neera Kapur. 2014. </w:t>
      </w:r>
      <w:r>
        <w:rPr>
          <w:i/>
          <w:iCs/>
        </w:rPr>
        <w:t>Well-Being: Happiness in a Worthwhile Life</w:t>
      </w:r>
      <w:r>
        <w:t>. Oxford: Oxford University Press.</w:t>
      </w:r>
    </w:p>
    <w:p w14:paraId="669092BB" w14:textId="77777777" w:rsidR="002513B9" w:rsidRDefault="00000000">
      <w:pPr>
        <w:pStyle w:val="Bibliography"/>
      </w:pPr>
      <w:bookmarkStart w:id="7" w:name="ref-Cashen.2023.HS"/>
      <w:bookmarkEnd w:id="5"/>
      <w:r>
        <w:t xml:space="preserve">Cashen, Matthew. 2023a. “Neera Badhwar’s Neo-Aristotelian Well-Being: A Stoic Response.” </w:t>
      </w:r>
      <w:r>
        <w:rPr>
          <w:i/>
          <w:iCs/>
        </w:rPr>
        <w:t>Journal of Happiness Studies.</w:t>
      </w:r>
      <w:r>
        <w:t xml:space="preserve"> 24 (8): 2531–42. </w:t>
      </w:r>
      <w:hyperlink r:id="rId7">
        <w:r>
          <w:rPr>
            <w:rStyle w:val="Hyperlink"/>
          </w:rPr>
          <w:t>https:​//​doi​.org​/10​.1007​/s10902​-023​-00690​-y</w:t>
        </w:r>
      </w:hyperlink>
      <w:r>
        <w:t>.</w:t>
      </w:r>
    </w:p>
    <w:p w14:paraId="535A05DF" w14:textId="77777777" w:rsidR="002513B9" w:rsidRDefault="00000000">
      <w:pPr>
        <w:pStyle w:val="Bibliography"/>
      </w:pPr>
      <w:bookmarkStart w:id="8" w:name="ref-Cashen.2023"/>
      <w:bookmarkEnd w:id="7"/>
      <w:r>
        <w:t>———. 2023b. “Angela the Diplomat.” Illinois Philosophical Association, November 4.</w:t>
      </w:r>
    </w:p>
    <w:p w14:paraId="3FA0121B" w14:textId="77777777" w:rsidR="002513B9" w:rsidRDefault="00000000">
      <w:pPr>
        <w:pStyle w:val="Bibliography"/>
      </w:pPr>
      <w:bookmarkStart w:id="9" w:name="ref-Dorsey.2021"/>
      <w:bookmarkEnd w:id="8"/>
      <w:r>
        <w:t xml:space="preserve">Dorsey, Dale. 2021. </w:t>
      </w:r>
      <w:r>
        <w:rPr>
          <w:i/>
          <w:iCs/>
        </w:rPr>
        <w:t>A Theory of Prudence</w:t>
      </w:r>
      <w:r>
        <w:t>. Oxford, New York: Oxford University Press.</w:t>
      </w:r>
    </w:p>
    <w:p w14:paraId="7AE36455" w14:textId="77777777" w:rsidR="002513B9" w:rsidRDefault="00000000">
      <w:pPr>
        <w:pStyle w:val="Bibliography"/>
      </w:pPr>
      <w:bookmarkStart w:id="10" w:name="ref-Haybron.2007.a"/>
      <w:bookmarkEnd w:id="9"/>
      <w:r>
        <w:t xml:space="preserve">Haybron, Daniel M. 2007. “Well-Being and Virtue.” </w:t>
      </w:r>
      <w:r>
        <w:rPr>
          <w:i/>
          <w:iCs/>
        </w:rPr>
        <w:t>Journal of Ethics and Social Philosophy</w:t>
      </w:r>
      <w:r>
        <w:t xml:space="preserve"> 2 (2): 1–28. </w:t>
      </w:r>
      <w:hyperlink r:id="rId8">
        <w:r>
          <w:rPr>
            <w:rStyle w:val="Hyperlink"/>
          </w:rPr>
          <w:t>https:​//​doi​.org​/10​.26556​/jesp​.v2i2​.21</w:t>
        </w:r>
      </w:hyperlink>
      <w:r>
        <w:t>.</w:t>
      </w:r>
    </w:p>
    <w:p w14:paraId="008CF882" w14:textId="77777777" w:rsidR="002513B9" w:rsidRDefault="00000000">
      <w:pPr>
        <w:pStyle w:val="Bibliography"/>
      </w:pPr>
      <w:bookmarkStart w:id="11" w:name="ref-Haybron.2008"/>
      <w:bookmarkEnd w:id="10"/>
      <w:r>
        <w:t xml:space="preserve">———. 2008. </w:t>
      </w:r>
      <w:r>
        <w:rPr>
          <w:i/>
          <w:iCs/>
        </w:rPr>
        <w:t>The Pursuit of Unhappiness: The Elusive Psychology of Well-Being</w:t>
      </w:r>
      <w:r>
        <w:t>. Oxford: Oxford University Press.</w:t>
      </w:r>
    </w:p>
    <w:p w14:paraId="3B264ECC" w14:textId="77777777" w:rsidR="002513B9" w:rsidRDefault="00000000">
      <w:pPr>
        <w:pStyle w:val="Bibliography"/>
      </w:pPr>
      <w:bookmarkStart w:id="12" w:name="ref-Plantinga.2017.a"/>
      <w:bookmarkEnd w:id="11"/>
      <w:r>
        <w:t xml:space="preserve">Plantinga, Alvin. (1977) 2017. “The Free Will Defense.” In </w:t>
      </w:r>
      <w:r>
        <w:rPr>
          <w:i/>
          <w:iCs/>
        </w:rPr>
        <w:t>The Problem of Evil</w:t>
      </w:r>
      <w:r>
        <w:t xml:space="preserve">, edited by Michael L. Peterson, 95–129. Selected Readings, Second Edition. Notre Dame, ID: University of Notre Dame Press. </w:t>
      </w:r>
      <w:hyperlink r:id="rId9">
        <w:r>
          <w:rPr>
            <w:rStyle w:val="Hyperlink"/>
          </w:rPr>
          <w:t>http:​//​www​.jstor​.org​/stable​/j​.ctvpj7gm2​.12</w:t>
        </w:r>
      </w:hyperlink>
      <w:r>
        <w:t>.</w:t>
      </w:r>
      <w:bookmarkEnd w:id="4"/>
      <w:bookmarkEnd w:id="6"/>
      <w:bookmarkEnd w:id="12"/>
    </w:p>
    <w:sectPr w:rsidR="002513B9" w:rsidSect="00FD5DB4">
      <w:footerReference w:type="even" r:id="rId10"/>
      <w:footerReference w:type="default" r:id="rId11"/>
      <w:pgSz w:w="8640" w:h="12960"/>
      <w:pgMar w:top="1080" w:right="1440" w:bottom="1080" w:left="1440" w:header="288"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00F98" w14:textId="77777777" w:rsidR="00463A4B" w:rsidRDefault="00463A4B">
      <w:pPr>
        <w:spacing w:line="240" w:lineRule="auto"/>
      </w:pPr>
      <w:r>
        <w:separator/>
      </w:r>
    </w:p>
  </w:endnote>
  <w:endnote w:type="continuationSeparator" w:id="0">
    <w:p w14:paraId="3EC9A5E1" w14:textId="77777777" w:rsidR="00463A4B" w:rsidRDefault="00463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4924C6ED-3AF2-4342-9D43-8877158BAF93}"/>
  </w:font>
  <w:font w:name="Times New Roman">
    <w:panose1 w:val="02020603050405020304"/>
    <w:charset w:val="00"/>
    <w:family w:val="roman"/>
    <w:pitch w:val="variable"/>
    <w:sig w:usb0="E0002EFF" w:usb1="C000785B" w:usb2="00000009" w:usb3="00000000" w:csb0="000001FF" w:csb1="00000000"/>
    <w:embedRegular r:id="rId2" w:fontKey="{2A82210F-436C-AC4A-B6F0-4ED060F25EEF}"/>
    <w:embedBold r:id="rId3" w:fontKey="{76837FA0-031F-F24F-8938-2582F4891A9C}"/>
    <w:embedItalic r:id="rId4" w:fontKey="{EAB48B17-55F1-334C-9523-00BC5D0863A6}"/>
    <w:embedBoldItalic r:id="rId5" w:fontKey="{8221D2D8-4B24-6740-BA6D-6D92C3A846BF}"/>
  </w:font>
  <w:font w:name="Courier New">
    <w:panose1 w:val="02070309020205020404"/>
    <w:charset w:val="00"/>
    <w:family w:val="modern"/>
    <w:pitch w:val="fixed"/>
    <w:sig w:usb0="E0002AFF" w:usb1="C0007843" w:usb2="00000009" w:usb3="00000000" w:csb0="000001FF" w:csb1="00000000"/>
    <w:embedRegular r:id="rId6" w:fontKey="{2D8D543E-377F-2E4D-A4E6-CD06D69EF2E3}"/>
  </w:font>
  <w:font w:name="Wingdings">
    <w:panose1 w:val="05000000000000000000"/>
    <w:charset w:val="4D"/>
    <w:family w:val="decorative"/>
    <w:pitch w:val="variable"/>
    <w:sig w:usb0="00000003" w:usb1="00000000" w:usb2="00000000" w:usb3="00000000" w:csb0="80000001" w:csb1="00000000"/>
    <w:embedRegular r:id="rId7" w:fontKey="{68C7855C-AA8E-CE4B-A017-C22C310BC033}"/>
  </w:font>
  <w:font w:name="Cambria">
    <w:panose1 w:val="02040503050406030204"/>
    <w:charset w:val="00"/>
    <w:family w:val="roman"/>
    <w:pitch w:val="variable"/>
    <w:sig w:usb0="E00002FF" w:usb1="400004FF" w:usb2="00000000" w:usb3="00000000" w:csb0="0000019F" w:csb1="00000000"/>
    <w:embedRegular r:id="rId8" w:fontKey="{727AFB74-8295-CF4E-95AB-FE6B7DB2414A}"/>
  </w:font>
  <w:font w:name="Libertinus Serif">
    <w:panose1 w:val="00000000000000000000"/>
    <w:charset w:val="00"/>
    <w:family w:val="auto"/>
    <w:notTrueType/>
    <w:pitch w:val="variable"/>
    <w:sig w:usb0="E0000AFF" w:usb1="0200E5FB" w:usb2="01000020" w:usb3="00000000" w:csb0="000001BF" w:csb1="00000000"/>
  </w:font>
  <w:font w:name="Times New Roman (Body CS)">
    <w:altName w:val="Times New Roman"/>
    <w:panose1 w:val="020B0604020202020204"/>
    <w:charset w:val="00"/>
    <w:family w:val="roman"/>
    <w:pitch w:val="default"/>
  </w:font>
  <w:font w:name="Libertinus Serif Display">
    <w:panose1 w:val="00000000000000000000"/>
    <w:charset w:val="00"/>
    <w:family w:val="auto"/>
    <w:notTrueType/>
    <w:pitch w:val="variable"/>
    <w:sig w:usb0="E0000AFF" w:usb1="0200E5FB" w:usb2="01000020" w:usb3="00000000" w:csb0="000001BF" w:csb1="00000000"/>
  </w:font>
  <w:font w:name="LM Roman 10">
    <w:altName w:val="Calibri"/>
    <w:panose1 w:val="020B0604020202020204"/>
    <w:charset w:val="4D"/>
    <w:family w:val="auto"/>
    <w:notTrueType/>
    <w:pitch w:val="variable"/>
    <w:sig w:usb0="20000007" w:usb1="00000000" w:usb2="00000000" w:usb3="00000000" w:csb0="00000193" w:csb1="00000000"/>
  </w:font>
  <w:font w:name="Menlo">
    <w:panose1 w:val="020B0609030804020204"/>
    <w:charset w:val="00"/>
    <w:family w:val="modern"/>
    <w:pitch w:val="fixed"/>
    <w:sig w:usb0="E60022FF" w:usb1="D200F9FB" w:usb2="02000028" w:usb3="00000000" w:csb0="000001DF" w:csb1="00000000"/>
  </w:font>
  <w:font w:name="LM Roman Caps 10">
    <w:panose1 w:val="020B0604020202020204"/>
    <w:charset w:val="4D"/>
    <w:family w:val="auto"/>
    <w:notTrueType/>
    <w:pitch w:val="variable"/>
    <w:sig w:usb0="20000007" w:usb1="00000000" w:usb2="00000000" w:usb3="00000000" w:csb0="00000193" w:csb1="00000000"/>
  </w:font>
  <w:font w:name="Charter">
    <w:panose1 w:val="02040503050506020203"/>
    <w:charset w:val="00"/>
    <w:family w:val="roman"/>
    <w:pitch w:val="variable"/>
    <w:sig w:usb0="800000AF" w:usb1="1000204A" w:usb2="00000000" w:usb3="00000000" w:csb0="00000011" w:csb1="00000000"/>
    <w:embedRegular r:id="rId21" w:fontKey="{740711C2-FF6D-9549-AFFA-CF39FD2C4B85}"/>
    <w:embedBold r:id="rId22" w:fontKey="{3E209C18-EB85-BF44-A440-A4618A2EAF5C}"/>
  </w:font>
  <w:font w:name="Calibri">
    <w:panose1 w:val="020F0502020204030204"/>
    <w:charset w:val="00"/>
    <w:family w:val="swiss"/>
    <w:pitch w:val="variable"/>
    <w:sig w:usb0="E0002AFF" w:usb1="C000247B" w:usb2="00000009" w:usb3="00000000" w:csb0="000001FF" w:csb1="00000000"/>
    <w:embedRegular r:id="rId23" w:fontKey="{88C63EA3-4774-924B-979F-BD66F659A0A8}"/>
    <w:embedItalic r:id="rId24" w:fontKey="{7176CF3E-841D-044D-9C19-CC03D2C0D2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087660"/>
      <w:docPartObj>
        <w:docPartGallery w:val="Page Numbers (Bottom of Page)"/>
        <w:docPartUnique/>
      </w:docPartObj>
    </w:sdtPr>
    <w:sdtContent>
      <w:p w14:paraId="6C642A01"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9AC66B1" w14:textId="77777777" w:rsidR="007D53F1" w:rsidRDefault="007D53F1">
    <w:pPr>
      <w:pStyle w:val="Footer"/>
    </w:pPr>
  </w:p>
  <w:p w14:paraId="45EC7795" w14:textId="77777777" w:rsidR="00CF63CA" w:rsidRDefault="00CF63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4865313"/>
      <w:docPartObj>
        <w:docPartGallery w:val="Page Numbers (Bottom of Page)"/>
        <w:docPartUnique/>
      </w:docPartObj>
    </w:sdtPr>
    <w:sdtContent>
      <w:p w14:paraId="714BB95C"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12FBDB" w14:textId="77777777" w:rsidR="007D53F1" w:rsidRDefault="007D53F1">
    <w:pPr>
      <w:pStyle w:val="Footer"/>
    </w:pPr>
  </w:p>
  <w:p w14:paraId="5054B695" w14:textId="77777777" w:rsidR="00CF63CA" w:rsidRDefault="00CF63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4740B" w14:textId="77777777" w:rsidR="00463A4B" w:rsidRDefault="00463A4B">
      <w:pPr>
        <w:spacing w:line="240" w:lineRule="auto"/>
      </w:pPr>
      <w:r>
        <w:separator/>
      </w:r>
    </w:p>
  </w:footnote>
  <w:footnote w:type="continuationSeparator" w:id="0">
    <w:p w14:paraId="7643CB80" w14:textId="77777777" w:rsidR="00463A4B" w:rsidRDefault="00463A4B">
      <w:pPr>
        <w:spacing w:line="240" w:lineRule="auto"/>
      </w:pPr>
      <w:r>
        <w:continuationSeparator/>
      </w:r>
    </w:p>
  </w:footnote>
  <w:footnote w:id="1">
    <w:p w14:paraId="55C13AE2" w14:textId="77777777" w:rsidR="002513B9" w:rsidRDefault="00000000">
      <w:pPr>
        <w:pStyle w:val="FootnoteText"/>
      </w:pPr>
      <w:r>
        <w:rPr>
          <w:rStyle w:val="FootnoteReference"/>
        </w:rPr>
        <w:footnoteRef/>
      </w:r>
      <w:r>
        <w:t xml:space="preserve"> The quotation is from his recent article in </w:t>
      </w:r>
      <w:r>
        <w:rPr>
          <w:i/>
          <w:iCs/>
        </w:rPr>
        <w:t>Happiness Studies</w:t>
      </w:r>
      <w:r>
        <w:t xml:space="preserve"> (Cashen 2023a), where he retains the tradition term “external goods” in the place of “</w:t>
      </w:r>
      <w:proofErr w:type="gramStart"/>
      <w:r>
        <w:t>happy-makers</w:t>
      </w:r>
      <w:proofErr w:type="gramEnd"/>
      <w:r>
        <w:t>.” The claim that external goods are “sources of happiness in their own right” comes from Badhwar (2014, 184). Cashen draws the same conclusion in this presentation: “Now, it’s only because Badhwar treats happiness and virtue as distinct sources of wellbeing that Angela’s case can be framed as the dilemma, ‘which to choose, happiness or virtue?’ But I want to show now that Badhwar can’t consistently hold these two to be distinct sources of wellbeing” (Cashen 2023b, sec. 3).</w:t>
      </w:r>
    </w:p>
  </w:footnote>
  <w:footnote w:id="2">
    <w:p w14:paraId="70FCCCDC" w14:textId="77777777" w:rsidR="002513B9" w:rsidRDefault="00000000">
      <w:pPr>
        <w:pStyle w:val="FootnoteText"/>
      </w:pPr>
      <w:r>
        <w:rPr>
          <w:rStyle w:val="FootnoteReference"/>
        </w:rPr>
        <w:footnoteRef/>
      </w:r>
      <w:r>
        <w:t xml:space="preserve"> Following Haybron I use the term perfectionism to refer to any theory on which well-being partly consists in some kind of perfection, excellence, or virtue (Haybron 2008, 156).</w:t>
      </w:r>
    </w:p>
  </w:footnote>
  <w:footnote w:id="3">
    <w:p w14:paraId="2D4C0F2E" w14:textId="77777777" w:rsidR="002513B9" w:rsidRDefault="00000000">
      <w:pPr>
        <w:pStyle w:val="FootnoteText"/>
      </w:pPr>
      <w:r>
        <w:rPr>
          <w:rStyle w:val="FootnoteReference"/>
        </w:rPr>
        <w:footnoteRef/>
      </w:r>
      <w:r>
        <w:t xml:space="preserve"> Badhwar (2014, 14) suggests that Rosalind Hursthouse should make a similar move. Cashen’s (2023b, sec. 5) predicts the followoing response: “the pleasures and other positive psychic states that result from our vicious habits and choices may make us happier, [Badhwar] says, but they can’t augment our wellbeing.”</w:t>
      </w:r>
    </w:p>
  </w:footnote>
  <w:footnote w:id="4">
    <w:p w14:paraId="59EF29E8" w14:textId="77777777" w:rsidR="002513B9" w:rsidRDefault="00000000">
      <w:pPr>
        <w:pStyle w:val="FootnoteText"/>
      </w:pPr>
      <w:r>
        <w:rPr>
          <w:rStyle w:val="FootnoteReference"/>
        </w:rPr>
        <w:footnoteRef/>
      </w:r>
      <w:r>
        <w:t xml:space="preserve"> This analysis was inspired by Alvin Plantinga’s free will defense ([1977]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31C2A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DA087B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98E56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EC241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20ADC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AC4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6E2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38AF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A0CC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26AE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393629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8C12F546"/>
    <w:name w:val="MultiLevelBullet"/>
    <w:lvl w:ilvl="0">
      <w:numFmt w:val="bullet"/>
      <w:lvlText w:val="•"/>
      <w:lvlJc w:val="left"/>
      <w:pPr>
        <w:tabs>
          <w:tab w:val="num" w:pos="-31680"/>
        </w:tabs>
        <w:ind w:left="864" w:hanging="288"/>
      </w:pPr>
      <w:rPr>
        <w:rFonts w:hint="default"/>
      </w:rPr>
    </w:lvl>
    <w:lvl w:ilvl="1">
      <w:numFmt w:val="bullet"/>
      <w:lvlText w:val="o"/>
      <w:lvlJc w:val="left"/>
      <w:pPr>
        <w:ind w:left="1152" w:hanging="288"/>
      </w:pPr>
      <w:rPr>
        <w:rFonts w:ascii="Courier New" w:hAnsi="Courier New" w:hint="default"/>
      </w:rPr>
    </w:lvl>
    <w:lvl w:ilvl="2">
      <w:numFmt w:val="bullet"/>
      <w:lvlText w:val=""/>
      <w:lvlJc w:val="left"/>
      <w:pPr>
        <w:ind w:left="1440" w:hanging="288"/>
      </w:pPr>
      <w:rPr>
        <w:rFonts w:ascii="Wingdings" w:hAnsi="Wingdings" w:hint="default"/>
      </w:rPr>
    </w:lvl>
    <w:lvl w:ilvl="3">
      <w:numFmt w:val="bullet"/>
      <w:lvlText w:val="–"/>
      <w:lvlJc w:val="left"/>
      <w:pPr>
        <w:tabs>
          <w:tab w:val="num" w:pos="1440"/>
        </w:tabs>
        <w:ind w:left="1728" w:hanging="288"/>
      </w:pPr>
      <w:rPr>
        <w:rFonts w:hint="default"/>
      </w:rPr>
    </w:lvl>
    <w:lvl w:ilvl="4">
      <w:numFmt w:val="bullet"/>
      <w:lvlText w:val="•"/>
      <w:lvlJc w:val="left"/>
      <w:pPr>
        <w:tabs>
          <w:tab w:val="num" w:pos="1728"/>
        </w:tabs>
        <w:ind w:left="2016" w:hanging="288"/>
      </w:pPr>
      <w:rPr>
        <w:rFonts w:hint="default"/>
      </w:rPr>
    </w:lvl>
    <w:lvl w:ilvl="5">
      <w:numFmt w:val="bullet"/>
      <w:lvlText w:val="o"/>
      <w:lvlJc w:val="left"/>
      <w:pPr>
        <w:tabs>
          <w:tab w:val="num" w:pos="2016"/>
        </w:tabs>
        <w:ind w:left="2304" w:hanging="288"/>
      </w:pPr>
      <w:rPr>
        <w:rFonts w:ascii="Courier New" w:hAnsi="Courier New" w:hint="default"/>
      </w:rPr>
    </w:lvl>
    <w:lvl w:ilvl="6">
      <w:numFmt w:val="bullet"/>
      <w:lvlText w:val=""/>
      <w:lvlJc w:val="left"/>
      <w:pPr>
        <w:tabs>
          <w:tab w:val="num" w:pos="2304"/>
        </w:tabs>
        <w:ind w:left="2592" w:hanging="288"/>
      </w:pPr>
      <w:rPr>
        <w:rFonts w:ascii="Wingdings" w:hAnsi="Wingdings" w:hint="default"/>
      </w:rPr>
    </w:lvl>
    <w:lvl w:ilvl="7">
      <w:numFmt w:val="bullet"/>
      <w:lvlText w:val="–"/>
      <w:lvlJc w:val="left"/>
      <w:pPr>
        <w:ind w:left="2880" w:hanging="288"/>
      </w:pPr>
      <w:rPr>
        <w:rFonts w:hint="default"/>
      </w:rPr>
    </w:lvl>
    <w:lvl w:ilvl="8">
      <w:numFmt w:val="bullet"/>
      <w:lvlText w:val="•"/>
      <w:lvlJc w:val="left"/>
      <w:pPr>
        <w:tabs>
          <w:tab w:val="num" w:pos="2880"/>
        </w:tabs>
        <w:ind w:left="3168" w:hanging="288"/>
      </w:pPr>
      <w:rPr>
        <w:rFonts w:hint="default"/>
      </w:rPr>
    </w:lvl>
  </w:abstractNum>
  <w:abstractNum w:abstractNumId="12" w15:restartNumberingAfterBreak="0">
    <w:nsid w:val="00A99311"/>
    <w:multiLevelType w:val="multilevel"/>
    <w:tmpl w:val="3B18733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3" w15:restartNumberingAfterBreak="0">
    <w:nsid w:val="00A99411"/>
    <w:multiLevelType w:val="multilevel"/>
    <w:tmpl w:val="03588F84"/>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4" w15:restartNumberingAfterBreak="0">
    <w:nsid w:val="00A99514"/>
    <w:multiLevelType w:val="multilevel"/>
    <w:tmpl w:val="FB7A0640"/>
    <w:lvl w:ilvl="0">
      <w:start w:val="1"/>
      <w:numFmt w:val="lowerRoman"/>
      <w:lvlText w:val="%1."/>
      <w:lvlJc w:val="left"/>
      <w:pPr>
        <w:ind w:left="1008" w:hanging="432"/>
      </w:pPr>
      <w:rPr>
        <w:rFonts w:hint="default"/>
      </w:rPr>
    </w:lvl>
    <w:lvl w:ilvl="1">
      <w:start w:val="4"/>
      <w:numFmt w:val="lowerRoman"/>
      <w:lvlText w:val="%2."/>
      <w:lvlJc w:val="left"/>
      <w:pPr>
        <w:ind w:left="1440" w:hanging="480"/>
      </w:pPr>
      <w:rPr>
        <w:rFonts w:hint="default"/>
      </w:rPr>
    </w:lvl>
    <w:lvl w:ilvl="2">
      <w:start w:val="4"/>
      <w:numFmt w:val="lowerRoman"/>
      <w:lvlText w:val="%3."/>
      <w:lvlJc w:val="left"/>
      <w:pPr>
        <w:ind w:left="2160" w:hanging="480"/>
      </w:pPr>
      <w:rPr>
        <w:rFonts w:hint="default"/>
      </w:rPr>
    </w:lvl>
    <w:lvl w:ilvl="3">
      <w:start w:val="4"/>
      <w:numFmt w:val="lowerRoman"/>
      <w:lvlText w:val="%4."/>
      <w:lvlJc w:val="left"/>
      <w:pPr>
        <w:ind w:left="2880" w:hanging="480"/>
      </w:pPr>
      <w:rPr>
        <w:rFonts w:hint="default"/>
      </w:rPr>
    </w:lvl>
    <w:lvl w:ilvl="4">
      <w:start w:val="4"/>
      <w:numFmt w:val="lowerRoman"/>
      <w:lvlText w:val="%5."/>
      <w:lvlJc w:val="left"/>
      <w:pPr>
        <w:ind w:left="3600" w:hanging="480"/>
      </w:pPr>
      <w:rPr>
        <w:rFonts w:hint="default"/>
      </w:rPr>
    </w:lvl>
    <w:lvl w:ilvl="5">
      <w:start w:val="4"/>
      <w:numFmt w:val="lowerRoman"/>
      <w:lvlText w:val="%6."/>
      <w:lvlJc w:val="left"/>
      <w:pPr>
        <w:ind w:left="4320" w:hanging="480"/>
      </w:pPr>
      <w:rPr>
        <w:rFonts w:hint="default"/>
      </w:rPr>
    </w:lvl>
    <w:lvl w:ilvl="6">
      <w:start w:val="4"/>
      <w:numFmt w:val="lowerRoman"/>
      <w:lvlText w:val="%7."/>
      <w:lvlJc w:val="left"/>
      <w:pPr>
        <w:ind w:left="5040" w:hanging="480"/>
      </w:pPr>
      <w:rPr>
        <w:rFonts w:hint="default"/>
      </w:rPr>
    </w:lvl>
    <w:lvl w:ilvl="7">
      <w:start w:val="4"/>
      <w:numFmt w:val="lowerRoman"/>
      <w:lvlText w:val="%8."/>
      <w:lvlJc w:val="left"/>
      <w:pPr>
        <w:ind w:left="5760" w:hanging="480"/>
      </w:pPr>
      <w:rPr>
        <w:rFonts w:hint="default"/>
      </w:rPr>
    </w:lvl>
    <w:lvl w:ilvl="8">
      <w:start w:val="4"/>
      <w:numFmt w:val="lowerRoman"/>
      <w:lvlText w:val="%9."/>
      <w:lvlJc w:val="left"/>
      <w:pPr>
        <w:ind w:left="6480" w:hanging="480"/>
      </w:pPr>
      <w:rPr>
        <w:rFonts w:hint="default"/>
      </w:rPr>
    </w:lvl>
  </w:abstractNum>
  <w:abstractNum w:abstractNumId="15" w15:restartNumberingAfterBreak="0">
    <w:nsid w:val="00A99516"/>
    <w:multiLevelType w:val="multilevel"/>
    <w:tmpl w:val="71CC0292"/>
    <w:lvl w:ilvl="0">
      <w:start w:val="6"/>
      <w:numFmt w:val="lowerRoman"/>
      <w:lvlText w:val="%1."/>
      <w:lvlJc w:val="left"/>
      <w:pPr>
        <w:ind w:left="1008" w:hanging="432"/>
      </w:pPr>
      <w:rPr>
        <w:rFonts w:hint="default"/>
      </w:rPr>
    </w:lvl>
    <w:lvl w:ilvl="1">
      <w:start w:val="6"/>
      <w:numFmt w:val="lowerRoman"/>
      <w:lvlText w:val="%2."/>
      <w:lvlJc w:val="left"/>
      <w:pPr>
        <w:ind w:left="1440" w:hanging="480"/>
      </w:pPr>
      <w:rPr>
        <w:rFonts w:hint="default"/>
      </w:rPr>
    </w:lvl>
    <w:lvl w:ilvl="2">
      <w:start w:val="6"/>
      <w:numFmt w:val="lowerRoman"/>
      <w:lvlText w:val="%3."/>
      <w:lvlJc w:val="left"/>
      <w:pPr>
        <w:ind w:left="2160" w:hanging="480"/>
      </w:pPr>
      <w:rPr>
        <w:rFonts w:hint="default"/>
      </w:rPr>
    </w:lvl>
    <w:lvl w:ilvl="3">
      <w:start w:val="6"/>
      <w:numFmt w:val="lowerRoman"/>
      <w:lvlText w:val="%4."/>
      <w:lvlJc w:val="left"/>
      <w:pPr>
        <w:ind w:left="2880" w:hanging="480"/>
      </w:pPr>
      <w:rPr>
        <w:rFonts w:hint="default"/>
      </w:rPr>
    </w:lvl>
    <w:lvl w:ilvl="4">
      <w:start w:val="6"/>
      <w:numFmt w:val="lowerRoman"/>
      <w:lvlText w:val="%5."/>
      <w:lvlJc w:val="left"/>
      <w:pPr>
        <w:ind w:left="3600" w:hanging="480"/>
      </w:pPr>
      <w:rPr>
        <w:rFonts w:hint="default"/>
      </w:rPr>
    </w:lvl>
    <w:lvl w:ilvl="5">
      <w:start w:val="6"/>
      <w:numFmt w:val="lowerRoman"/>
      <w:lvlText w:val="%6."/>
      <w:lvlJc w:val="left"/>
      <w:pPr>
        <w:ind w:left="4320" w:hanging="480"/>
      </w:pPr>
      <w:rPr>
        <w:rFonts w:hint="default"/>
      </w:rPr>
    </w:lvl>
    <w:lvl w:ilvl="6">
      <w:start w:val="6"/>
      <w:numFmt w:val="lowerRoman"/>
      <w:lvlText w:val="%7."/>
      <w:lvlJc w:val="left"/>
      <w:pPr>
        <w:ind w:left="5040" w:hanging="480"/>
      </w:pPr>
      <w:rPr>
        <w:rFonts w:hint="default"/>
      </w:rPr>
    </w:lvl>
    <w:lvl w:ilvl="7">
      <w:start w:val="6"/>
      <w:numFmt w:val="lowerRoman"/>
      <w:lvlText w:val="%8."/>
      <w:lvlJc w:val="left"/>
      <w:pPr>
        <w:ind w:left="5760" w:hanging="480"/>
      </w:pPr>
      <w:rPr>
        <w:rFonts w:hint="default"/>
      </w:rPr>
    </w:lvl>
    <w:lvl w:ilvl="8">
      <w:start w:val="6"/>
      <w:numFmt w:val="lowerRoman"/>
      <w:lvlText w:val="%9."/>
      <w:lvlJc w:val="left"/>
      <w:pPr>
        <w:ind w:left="6480" w:hanging="480"/>
      </w:pPr>
      <w:rPr>
        <w:rFonts w:hint="default"/>
      </w:rPr>
    </w:lvl>
  </w:abstractNum>
  <w:abstractNum w:abstractNumId="16" w15:restartNumberingAfterBreak="0">
    <w:nsid w:val="00A99811"/>
    <w:multiLevelType w:val="multilevel"/>
    <w:tmpl w:val="E35869D2"/>
    <w:lvl w:ilvl="0">
      <w:start w:val="1"/>
      <w:numFmt w:val="upperLetter"/>
      <w:lvlText w:val="%1."/>
      <w:lvlJc w:val="left"/>
      <w:pPr>
        <w:ind w:left="936" w:hanging="360"/>
      </w:pPr>
      <w:rPr>
        <w:rFonts w:hint="default"/>
      </w:rPr>
    </w:lvl>
    <w:lvl w:ilvl="1">
      <w:start w:val="1"/>
      <w:numFmt w:val="upperLetter"/>
      <w:lvlText w:val="%2."/>
      <w:lvlJc w:val="left"/>
      <w:pPr>
        <w:ind w:left="1440" w:hanging="480"/>
      </w:pPr>
      <w:rPr>
        <w:rFonts w:hint="default"/>
      </w:rPr>
    </w:lvl>
    <w:lvl w:ilvl="2">
      <w:start w:val="1"/>
      <w:numFmt w:val="upperLetter"/>
      <w:lvlText w:val="%3."/>
      <w:lvlJc w:val="left"/>
      <w:pPr>
        <w:ind w:left="2160" w:hanging="480"/>
      </w:pPr>
      <w:rPr>
        <w:rFonts w:hint="default"/>
      </w:rPr>
    </w:lvl>
    <w:lvl w:ilvl="3">
      <w:start w:val="1"/>
      <w:numFmt w:val="upperLetter"/>
      <w:lvlText w:val="%4."/>
      <w:lvlJc w:val="left"/>
      <w:pPr>
        <w:ind w:left="2880" w:hanging="480"/>
      </w:pPr>
      <w:rPr>
        <w:rFonts w:hint="default"/>
      </w:rPr>
    </w:lvl>
    <w:lvl w:ilvl="4">
      <w:start w:val="1"/>
      <w:numFmt w:val="upperLetter"/>
      <w:lvlText w:val="%5."/>
      <w:lvlJc w:val="left"/>
      <w:pPr>
        <w:ind w:left="3600" w:hanging="480"/>
      </w:pPr>
      <w:rPr>
        <w:rFonts w:hint="default"/>
      </w:rPr>
    </w:lvl>
    <w:lvl w:ilvl="5">
      <w:start w:val="1"/>
      <w:numFmt w:val="upperLetter"/>
      <w:lvlText w:val="%6."/>
      <w:lvlJc w:val="left"/>
      <w:pPr>
        <w:ind w:left="4320" w:hanging="480"/>
      </w:pPr>
      <w:rPr>
        <w:rFonts w:hint="default"/>
      </w:rPr>
    </w:lvl>
    <w:lvl w:ilvl="6">
      <w:start w:val="1"/>
      <w:numFmt w:val="upperLetter"/>
      <w:lvlText w:val="%7."/>
      <w:lvlJc w:val="left"/>
      <w:pPr>
        <w:ind w:left="5040" w:hanging="480"/>
      </w:pPr>
      <w:rPr>
        <w:rFonts w:hint="default"/>
      </w:rPr>
    </w:lvl>
    <w:lvl w:ilvl="7">
      <w:start w:val="1"/>
      <w:numFmt w:val="upperLetter"/>
      <w:lvlText w:val="%8."/>
      <w:lvlJc w:val="left"/>
      <w:pPr>
        <w:ind w:left="5760" w:hanging="480"/>
      </w:pPr>
      <w:rPr>
        <w:rFonts w:hint="default"/>
      </w:rPr>
    </w:lvl>
    <w:lvl w:ilvl="8">
      <w:start w:val="1"/>
      <w:numFmt w:val="upperLetter"/>
      <w:lvlText w:val="%9."/>
      <w:lvlJc w:val="left"/>
      <w:pPr>
        <w:ind w:left="6480" w:hanging="480"/>
      </w:pPr>
      <w:rPr>
        <w:rFonts w:hint="default"/>
      </w:rPr>
    </w:lvl>
  </w:abstractNum>
  <w:abstractNum w:abstractNumId="17" w15:restartNumberingAfterBreak="0">
    <w:nsid w:val="06772DB5"/>
    <w:multiLevelType w:val="multilevel"/>
    <w:tmpl w:val="A23436F4"/>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18" w15:restartNumberingAfterBreak="0">
    <w:nsid w:val="0A3F4576"/>
    <w:multiLevelType w:val="multilevel"/>
    <w:tmpl w:val="2DEAD54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9" w15:restartNumberingAfterBreak="0">
    <w:nsid w:val="16A617F6"/>
    <w:multiLevelType w:val="singleLevel"/>
    <w:tmpl w:val="86283B70"/>
    <w:name w:val="MultiLevelBullet"/>
    <w:lvl w:ilvl="0">
      <w:start w:val="1"/>
      <w:numFmt w:val="decimal"/>
      <w:lvlText w:val="%1."/>
      <w:lvlJc w:val="left"/>
      <w:pPr>
        <w:ind w:left="936" w:hanging="360"/>
      </w:pPr>
      <w:rPr>
        <w:rFonts w:hint="default"/>
      </w:rPr>
    </w:lvl>
  </w:abstractNum>
  <w:abstractNum w:abstractNumId="20" w15:restartNumberingAfterBreak="0">
    <w:nsid w:val="170CD2DE"/>
    <w:multiLevelType w:val="multilevel"/>
    <w:tmpl w:val="D7B0320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1" w15:restartNumberingAfterBreak="0">
    <w:nsid w:val="190B72C9"/>
    <w:multiLevelType w:val="hybridMultilevel"/>
    <w:tmpl w:val="BEF40784"/>
    <w:lvl w:ilvl="0" w:tplc="E2BAAFDC">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2" w15:restartNumberingAfterBreak="0">
    <w:nsid w:val="1F0E25F9"/>
    <w:multiLevelType w:val="multilevel"/>
    <w:tmpl w:val="A23436F4"/>
    <w:styleLink w:val="CurrentList3"/>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3" w15:restartNumberingAfterBreak="0">
    <w:nsid w:val="2A744D4B"/>
    <w:multiLevelType w:val="multilevel"/>
    <w:tmpl w:val="0276DCD0"/>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4" w15:restartNumberingAfterBreak="0">
    <w:nsid w:val="319B5562"/>
    <w:multiLevelType w:val="multilevel"/>
    <w:tmpl w:val="A23436F4"/>
    <w:styleLink w:val="CurrentList4"/>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5" w15:restartNumberingAfterBreak="0">
    <w:nsid w:val="3278521E"/>
    <w:multiLevelType w:val="multilevel"/>
    <w:tmpl w:val="6DA4CB3A"/>
    <w:lvl w:ilvl="0">
      <w:start w:val="1"/>
      <w:numFmt w:val="upperLetter"/>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6" w15:restartNumberingAfterBreak="0">
    <w:nsid w:val="399557C2"/>
    <w:multiLevelType w:val="hybridMultilevel"/>
    <w:tmpl w:val="004CB21E"/>
    <w:name w:val="MultiLevelBullet2"/>
    <w:lvl w:ilvl="0" w:tplc="8B54772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 w15:restartNumberingAfterBreak="0">
    <w:nsid w:val="3F696EBE"/>
    <w:multiLevelType w:val="hybridMultilevel"/>
    <w:tmpl w:val="0FF8F87E"/>
    <w:lvl w:ilvl="0" w:tplc="86283B70">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8" w15:restartNumberingAfterBreak="0">
    <w:nsid w:val="3FC65726"/>
    <w:multiLevelType w:val="multilevel"/>
    <w:tmpl w:val="3EA81038"/>
    <w:lvl w:ilvl="0">
      <w:start w:val="1"/>
      <w:numFmt w:val="decimal"/>
      <w:lvlText w:val="%1."/>
      <w:lvlJc w:val="left"/>
      <w:pPr>
        <w:ind w:left="936" w:hanging="360"/>
      </w:pPr>
      <w:rPr>
        <w:rFonts w:hint="default"/>
      </w:rPr>
    </w:lvl>
    <w:lvl w:ilvl="1">
      <w:start w:val="1"/>
      <w:numFmt w:val="decimal"/>
      <w:lvlText w:val="%1.%2"/>
      <w:lvlJc w:val="left"/>
      <w:pPr>
        <w:ind w:left="1440" w:hanging="480"/>
      </w:pPr>
      <w:rPr>
        <w:rFonts w:hint="default"/>
      </w:rPr>
    </w:lvl>
    <w:lvl w:ilvl="2">
      <w:start w:val="1"/>
      <w:numFmt w:val="decimal"/>
      <w:lvlText w:val="%3."/>
      <w:lvlJc w:val="left"/>
      <w:pPr>
        <w:ind w:left="2160" w:hanging="480"/>
      </w:pPr>
      <w:rPr>
        <w:rFonts w:hint="default"/>
      </w:rPr>
    </w:lvl>
    <w:lvl w:ilvl="3">
      <w:start w:val="1"/>
      <w:numFmt w:val="decimal"/>
      <w:lvlText w:val="%4."/>
      <w:lvlJc w:val="left"/>
      <w:pPr>
        <w:ind w:left="2880" w:hanging="480"/>
      </w:pPr>
      <w:rPr>
        <w:rFonts w:hint="default"/>
      </w:rPr>
    </w:lvl>
    <w:lvl w:ilvl="4">
      <w:start w:val="1"/>
      <w:numFmt w:val="decimal"/>
      <w:lvlText w:val="%5."/>
      <w:lvlJc w:val="left"/>
      <w:pPr>
        <w:ind w:left="3600" w:hanging="480"/>
      </w:pPr>
      <w:rPr>
        <w:rFonts w:hint="default"/>
      </w:rPr>
    </w:lvl>
    <w:lvl w:ilvl="5">
      <w:start w:val="1"/>
      <w:numFmt w:val="decimal"/>
      <w:lvlText w:val="%6."/>
      <w:lvlJc w:val="left"/>
      <w:pPr>
        <w:ind w:left="4320" w:hanging="480"/>
      </w:pPr>
      <w:rPr>
        <w:rFonts w:hint="default"/>
      </w:rPr>
    </w:lvl>
    <w:lvl w:ilvl="6">
      <w:start w:val="1"/>
      <w:numFmt w:val="decimal"/>
      <w:lvlText w:val="%7."/>
      <w:lvlJc w:val="left"/>
      <w:pPr>
        <w:ind w:left="5040" w:hanging="480"/>
      </w:pPr>
      <w:rPr>
        <w:rFonts w:hint="default"/>
      </w:rPr>
    </w:lvl>
    <w:lvl w:ilvl="7">
      <w:start w:val="1"/>
      <w:numFmt w:val="decimal"/>
      <w:lvlText w:val="%8."/>
      <w:lvlJc w:val="left"/>
      <w:pPr>
        <w:ind w:left="5760" w:hanging="480"/>
      </w:pPr>
      <w:rPr>
        <w:rFonts w:hint="default"/>
      </w:rPr>
    </w:lvl>
    <w:lvl w:ilvl="8">
      <w:start w:val="1"/>
      <w:numFmt w:val="decimal"/>
      <w:lvlText w:val="%9."/>
      <w:lvlJc w:val="left"/>
      <w:pPr>
        <w:ind w:left="6480" w:hanging="480"/>
      </w:pPr>
      <w:rPr>
        <w:rFonts w:hint="default"/>
      </w:rPr>
    </w:lvl>
  </w:abstractNum>
  <w:abstractNum w:abstractNumId="29" w15:restartNumberingAfterBreak="0">
    <w:nsid w:val="492F62E9"/>
    <w:multiLevelType w:val="multilevel"/>
    <w:tmpl w:val="7EC0F828"/>
    <w:styleLink w:val="CurrentList1"/>
    <w:lvl w:ilvl="0">
      <w:start w:val="1"/>
      <w:numFmt w:val="decimal"/>
      <w:lvlText w:val="%1."/>
      <w:lvlJc w:val="left"/>
      <w:pPr>
        <w:ind w:left="1008" w:hanging="432"/>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0" w15:restartNumberingAfterBreak="0">
    <w:nsid w:val="4A8932E5"/>
    <w:multiLevelType w:val="multilevel"/>
    <w:tmpl w:val="2DEAD54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1" w15:restartNumberingAfterBreak="0">
    <w:nsid w:val="5126609B"/>
    <w:multiLevelType w:val="multilevel"/>
    <w:tmpl w:val="7EC0F828"/>
    <w:numStyleLink w:val="CurrentList1"/>
  </w:abstractNum>
  <w:abstractNum w:abstractNumId="32" w15:restartNumberingAfterBreak="0">
    <w:nsid w:val="544808B7"/>
    <w:multiLevelType w:val="multilevel"/>
    <w:tmpl w:val="E37ED716"/>
    <w:styleLink w:val="CurrentList2"/>
    <w:lvl w:ilvl="0">
      <w:start w:val="1"/>
      <w:numFmt w:val="lowerRoman"/>
      <w:lvlText w:val="%1."/>
      <w:lvlJc w:val="left"/>
      <w:pPr>
        <w:ind w:left="922" w:hanging="346"/>
      </w:pPr>
      <w:rPr>
        <w:rFonts w:hint="default"/>
      </w:rPr>
    </w:lvl>
    <w:lvl w:ilvl="1">
      <w:start w:val="4"/>
      <w:numFmt w:val="lowerRoman"/>
      <w:lvlText w:val="%2."/>
      <w:lvlJc w:val="left"/>
      <w:pPr>
        <w:ind w:left="1440" w:hanging="480"/>
      </w:pPr>
    </w:lvl>
    <w:lvl w:ilvl="2">
      <w:start w:val="4"/>
      <w:numFmt w:val="lowerRoman"/>
      <w:lvlText w:val="%3."/>
      <w:lvlJc w:val="left"/>
      <w:pPr>
        <w:ind w:left="2160" w:hanging="480"/>
      </w:pPr>
    </w:lvl>
    <w:lvl w:ilvl="3">
      <w:start w:val="4"/>
      <w:numFmt w:val="lowerRoman"/>
      <w:lvlText w:val="%4."/>
      <w:lvlJc w:val="left"/>
      <w:pPr>
        <w:ind w:left="2880" w:hanging="480"/>
      </w:pPr>
    </w:lvl>
    <w:lvl w:ilvl="4">
      <w:start w:val="4"/>
      <w:numFmt w:val="lowerRoman"/>
      <w:lvlText w:val="%5."/>
      <w:lvlJc w:val="left"/>
      <w:pPr>
        <w:ind w:left="3600" w:hanging="480"/>
      </w:pPr>
    </w:lvl>
    <w:lvl w:ilvl="5">
      <w:start w:val="4"/>
      <w:numFmt w:val="lowerRoman"/>
      <w:lvlText w:val="%6."/>
      <w:lvlJc w:val="left"/>
      <w:pPr>
        <w:ind w:left="4320" w:hanging="480"/>
      </w:pPr>
    </w:lvl>
    <w:lvl w:ilvl="6">
      <w:start w:val="4"/>
      <w:numFmt w:val="lowerRoman"/>
      <w:lvlText w:val="%7."/>
      <w:lvlJc w:val="left"/>
      <w:pPr>
        <w:ind w:left="5040" w:hanging="480"/>
      </w:pPr>
    </w:lvl>
    <w:lvl w:ilvl="7">
      <w:start w:val="4"/>
      <w:numFmt w:val="lowerRoman"/>
      <w:lvlText w:val="%8."/>
      <w:lvlJc w:val="left"/>
      <w:pPr>
        <w:ind w:left="5760" w:hanging="480"/>
      </w:pPr>
    </w:lvl>
    <w:lvl w:ilvl="8">
      <w:start w:val="4"/>
      <w:numFmt w:val="lowerRoman"/>
      <w:lvlText w:val="%9."/>
      <w:lvlJc w:val="left"/>
      <w:pPr>
        <w:ind w:left="6480" w:hanging="480"/>
      </w:pPr>
    </w:lvl>
  </w:abstractNum>
  <w:abstractNum w:abstractNumId="33" w15:restartNumberingAfterBreak="0">
    <w:nsid w:val="792272A8"/>
    <w:multiLevelType w:val="hybridMultilevel"/>
    <w:tmpl w:val="39C009D8"/>
    <w:lvl w:ilvl="0" w:tplc="8B54772C">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num w:numId="1" w16cid:durableId="695738614">
    <w:abstractNumId w:val="20"/>
  </w:num>
  <w:num w:numId="2" w16cid:durableId="606497992">
    <w:abstractNumId w:val="0"/>
  </w:num>
  <w:num w:numId="3" w16cid:durableId="1914117005">
    <w:abstractNumId w:val="1"/>
  </w:num>
  <w:num w:numId="4" w16cid:durableId="1852642684">
    <w:abstractNumId w:val="2"/>
  </w:num>
  <w:num w:numId="5" w16cid:durableId="888297160">
    <w:abstractNumId w:val="3"/>
  </w:num>
  <w:num w:numId="6" w16cid:durableId="1236474788">
    <w:abstractNumId w:val="8"/>
  </w:num>
  <w:num w:numId="7" w16cid:durableId="1622616740">
    <w:abstractNumId w:val="4"/>
  </w:num>
  <w:num w:numId="8" w16cid:durableId="1313679607">
    <w:abstractNumId w:val="5"/>
  </w:num>
  <w:num w:numId="9" w16cid:durableId="580917470">
    <w:abstractNumId w:val="6"/>
  </w:num>
  <w:num w:numId="10" w16cid:durableId="311644471">
    <w:abstractNumId w:val="7"/>
  </w:num>
  <w:num w:numId="11" w16cid:durableId="1604453074">
    <w:abstractNumId w:val="9"/>
  </w:num>
  <w:num w:numId="12" w16cid:durableId="1969045218">
    <w:abstractNumId w:val="10"/>
  </w:num>
  <w:num w:numId="13" w16cid:durableId="1378971889">
    <w:abstractNumId w:val="19"/>
  </w:num>
  <w:num w:numId="14" w16cid:durableId="1525745657">
    <w:abstractNumId w:val="14"/>
  </w:num>
  <w:num w:numId="15" w16cid:durableId="1063597020">
    <w:abstractNumId w:val="15"/>
  </w:num>
  <w:num w:numId="16" w16cid:durableId="914244707">
    <w:abstractNumId w:val="12"/>
  </w:num>
  <w:num w:numId="17" w16cid:durableId="2094037379">
    <w:abstractNumId w:val="11"/>
  </w:num>
  <w:num w:numId="18" w16cid:durableId="1950508309">
    <w:abstractNumId w:val="11"/>
  </w:num>
  <w:num w:numId="19" w16cid:durableId="599408110">
    <w:abstractNumId w:val="11"/>
  </w:num>
  <w:num w:numId="20" w16cid:durableId="1075393195">
    <w:abstractNumId w:val="11"/>
  </w:num>
  <w:num w:numId="21" w16cid:durableId="1983533589">
    <w:abstractNumId w:val="19"/>
    <w:lvlOverride w:ilvl="0">
      <w:startOverride w:val="1"/>
    </w:lvlOverride>
  </w:num>
  <w:num w:numId="22" w16cid:durableId="698817575">
    <w:abstractNumId w:val="11"/>
  </w:num>
  <w:num w:numId="23" w16cid:durableId="499124589">
    <w:abstractNumId w:val="0"/>
  </w:num>
  <w:num w:numId="24" w16cid:durableId="2071031163">
    <w:abstractNumId w:val="1"/>
  </w:num>
  <w:num w:numId="25" w16cid:durableId="774440718">
    <w:abstractNumId w:val="2"/>
  </w:num>
  <w:num w:numId="26" w16cid:durableId="1162893065">
    <w:abstractNumId w:val="3"/>
  </w:num>
  <w:num w:numId="27" w16cid:durableId="1901599627">
    <w:abstractNumId w:val="8"/>
  </w:num>
  <w:num w:numId="28" w16cid:durableId="912083270">
    <w:abstractNumId w:val="4"/>
  </w:num>
  <w:num w:numId="29" w16cid:durableId="20134547">
    <w:abstractNumId w:val="5"/>
  </w:num>
  <w:num w:numId="30" w16cid:durableId="1996759913">
    <w:abstractNumId w:val="6"/>
  </w:num>
  <w:num w:numId="31" w16cid:durableId="2034375054">
    <w:abstractNumId w:val="7"/>
  </w:num>
  <w:num w:numId="32" w16cid:durableId="134416515">
    <w:abstractNumId w:val="9"/>
  </w:num>
  <w:num w:numId="33" w16cid:durableId="1573274865">
    <w:abstractNumId w:val="29"/>
  </w:num>
  <w:num w:numId="34" w16cid:durableId="768621095">
    <w:abstractNumId w:val="26"/>
  </w:num>
  <w:num w:numId="35" w16cid:durableId="2029014998">
    <w:abstractNumId w:val="33"/>
  </w:num>
  <w:num w:numId="36" w16cid:durableId="1440948501">
    <w:abstractNumId w:val="21"/>
  </w:num>
  <w:num w:numId="37" w16cid:durableId="1152066662">
    <w:abstractNumId w:val="27"/>
  </w:num>
  <w:num w:numId="38" w16cid:durableId="895317078">
    <w:abstractNumId w:val="31"/>
  </w:num>
  <w:num w:numId="39" w16cid:durableId="1258638601">
    <w:abstractNumId w:val="17"/>
  </w:num>
  <w:num w:numId="40" w16cid:durableId="83651212">
    <w:abstractNumId w:val="25"/>
  </w:num>
  <w:num w:numId="41" w16cid:durableId="357241507">
    <w:abstractNumId w:val="32"/>
  </w:num>
  <w:num w:numId="42" w16cid:durableId="665435">
    <w:abstractNumId w:val="22"/>
  </w:num>
  <w:num w:numId="43" w16cid:durableId="1229611064">
    <w:abstractNumId w:val="30"/>
  </w:num>
  <w:num w:numId="44" w16cid:durableId="1950963874">
    <w:abstractNumId w:val="23"/>
  </w:num>
  <w:num w:numId="45" w16cid:durableId="798493769">
    <w:abstractNumId w:val="18"/>
  </w:num>
  <w:num w:numId="46" w16cid:durableId="1019089375">
    <w:abstractNumId w:val="28"/>
  </w:num>
  <w:num w:numId="47" w16cid:durableId="1922716420">
    <w:abstractNumId w:val="13"/>
  </w:num>
  <w:num w:numId="48" w16cid:durableId="1439986152">
    <w:abstractNumId w:val="12"/>
  </w:num>
  <w:num w:numId="49" w16cid:durableId="1298536284">
    <w:abstractNumId w:val="24"/>
  </w:num>
  <w:num w:numId="50" w16cid:durableId="1477188222">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1" w16cid:durableId="562836304">
    <w:abstractNumId w:val="15"/>
  </w:num>
  <w:num w:numId="52" w16cid:durableId="4554692">
    <w:abstractNumId w:val="16"/>
  </w:num>
  <w:num w:numId="53" w16cid:durableId="780534950">
    <w:abstractNumId w:val="10"/>
  </w:num>
  <w:num w:numId="54" w16cid:durableId="938872520">
    <w:abstractNumId w:val="13"/>
  </w:num>
  <w:num w:numId="55" w16cid:durableId="1544248357">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6" w16cid:durableId="273829460">
    <w:abstractNumId w:val="1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57" w16cid:durableId="3123735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738426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8101446">
    <w:abstractNumId w:val="11"/>
  </w:num>
  <w:num w:numId="60" w16cid:durableId="2021813695">
    <w:abstractNumId w:val="11"/>
  </w:num>
  <w:num w:numId="61" w16cid:durableId="83767884">
    <w:abstractNumId w:val="11"/>
  </w:num>
  <w:num w:numId="62" w16cid:durableId="621499270">
    <w:abstractNumId w:val="11"/>
  </w:num>
  <w:num w:numId="63" w16cid:durableId="435319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8885222">
    <w:abstractNumId w:val="11"/>
  </w:num>
  <w:num w:numId="65" w16cid:durableId="1851868284">
    <w:abstractNumId w:val="10"/>
  </w:num>
  <w:num w:numId="66" w16cid:durableId="4020651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autoHyphenation/>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3B"/>
    <w:rsid w:val="000414A2"/>
    <w:rsid w:val="000655B1"/>
    <w:rsid w:val="000668BE"/>
    <w:rsid w:val="000F5B3E"/>
    <w:rsid w:val="0019244A"/>
    <w:rsid w:val="001B15F8"/>
    <w:rsid w:val="00222430"/>
    <w:rsid w:val="00240388"/>
    <w:rsid w:val="002513B9"/>
    <w:rsid w:val="002B70C9"/>
    <w:rsid w:val="002C6C7D"/>
    <w:rsid w:val="003B133B"/>
    <w:rsid w:val="003E2B81"/>
    <w:rsid w:val="0041389E"/>
    <w:rsid w:val="004167A6"/>
    <w:rsid w:val="00463A4B"/>
    <w:rsid w:val="00472C58"/>
    <w:rsid w:val="005151BF"/>
    <w:rsid w:val="0058308E"/>
    <w:rsid w:val="006B4D03"/>
    <w:rsid w:val="006D678F"/>
    <w:rsid w:val="006E2ADE"/>
    <w:rsid w:val="006F3891"/>
    <w:rsid w:val="00756936"/>
    <w:rsid w:val="007D53F1"/>
    <w:rsid w:val="007E3680"/>
    <w:rsid w:val="007F175B"/>
    <w:rsid w:val="00804FF2"/>
    <w:rsid w:val="008B526C"/>
    <w:rsid w:val="008C1072"/>
    <w:rsid w:val="009115B3"/>
    <w:rsid w:val="009917F6"/>
    <w:rsid w:val="009B2AE9"/>
    <w:rsid w:val="00A14CEA"/>
    <w:rsid w:val="00A74DCF"/>
    <w:rsid w:val="00B37783"/>
    <w:rsid w:val="00BD1DC8"/>
    <w:rsid w:val="00BD2D86"/>
    <w:rsid w:val="00BE7880"/>
    <w:rsid w:val="00C7465C"/>
    <w:rsid w:val="00CF63CA"/>
    <w:rsid w:val="00D31321"/>
    <w:rsid w:val="00D72A09"/>
    <w:rsid w:val="00DE14A9"/>
    <w:rsid w:val="00DE2206"/>
    <w:rsid w:val="00E00304"/>
    <w:rsid w:val="00E11E9A"/>
    <w:rsid w:val="00E607ED"/>
    <w:rsid w:val="00E761C0"/>
    <w:rsid w:val="00E77B5D"/>
    <w:rsid w:val="00E975AC"/>
    <w:rsid w:val="00EE120E"/>
    <w:rsid w:val="00F615E1"/>
    <w:rsid w:val="00FA7C7A"/>
    <w:rsid w:val="00FD5DB4"/>
    <w:rsid w:val="00FF4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E66AD"/>
  <w15:docId w15:val="{EB44FBAA-920A-5E41-9995-6911F1F8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ADE"/>
    <w:pPr>
      <w:spacing w:after="0" w:line="288" w:lineRule="auto"/>
      <w:contextualSpacing/>
    </w:pPr>
    <w:rPr>
      <w:rFonts w:ascii="Libertinus Serif" w:hAnsi="Libertinus Serif" w:cs="Times New Roman (Body CS)"/>
      <w:sz w:val="22"/>
    </w:rPr>
  </w:style>
  <w:style w:type="paragraph" w:styleId="Heading1">
    <w:name w:val="heading 1"/>
    <w:basedOn w:val="Normal"/>
    <w:next w:val="FirstParagraph"/>
    <w:link w:val="Heading1Char"/>
    <w:autoRedefine/>
    <w:uiPriority w:val="9"/>
    <w:qFormat/>
    <w:rsid w:val="000414A2"/>
    <w:pPr>
      <w:keepNext/>
      <w:keepLines/>
      <w:suppressAutoHyphens/>
      <w:spacing w:before="300" w:after="180"/>
      <w:jc w:val="left"/>
      <w:outlineLvl w:val="0"/>
    </w:pPr>
    <w:rPr>
      <w:rFonts w:ascii="Libertinus Serif Display" w:hAnsi="Libertinus Serif Display"/>
      <w:b/>
      <w:smallCaps/>
      <w:spacing w:val="6"/>
      <w:sz w:val="28"/>
      <w:szCs w:val="32"/>
    </w:rPr>
  </w:style>
  <w:style w:type="paragraph" w:styleId="Heading2">
    <w:name w:val="heading 2"/>
    <w:basedOn w:val="Heading1"/>
    <w:next w:val="FirstParagraph"/>
    <w:link w:val="Heading2Char"/>
    <w:autoRedefine/>
    <w:uiPriority w:val="9"/>
    <w:unhideWhenUsed/>
    <w:qFormat/>
    <w:rsid w:val="000741CA"/>
    <w:pPr>
      <w:spacing w:before="240" w:after="80"/>
      <w:outlineLvl w:val="1"/>
    </w:pPr>
    <w:rPr>
      <w:smallCaps w:val="0"/>
      <w:szCs w:val="28"/>
    </w:rPr>
  </w:style>
  <w:style w:type="paragraph" w:styleId="Heading3">
    <w:name w:val="heading 3"/>
    <w:basedOn w:val="Normal"/>
    <w:next w:val="FirstParagraph"/>
    <w:link w:val="Heading3Char"/>
    <w:autoRedefine/>
    <w:uiPriority w:val="9"/>
    <w:unhideWhenUsed/>
    <w:qFormat/>
    <w:rsid w:val="00E00304"/>
    <w:pPr>
      <w:keepNext/>
      <w:keepLines/>
      <w:suppressAutoHyphens/>
      <w:spacing w:before="240" w:after="80"/>
      <w:jc w:val="left"/>
      <w:outlineLvl w:val="2"/>
    </w:pPr>
    <w:rPr>
      <w:i/>
      <w:spacing w:val="5"/>
      <w:szCs w:val="24"/>
    </w:rPr>
  </w:style>
  <w:style w:type="paragraph" w:styleId="Heading4">
    <w:name w:val="heading 4"/>
    <w:basedOn w:val="Heading3"/>
    <w:next w:val="FirstParagraph"/>
    <w:link w:val="Heading4Char"/>
    <w:autoRedefine/>
    <w:uiPriority w:val="9"/>
    <w:unhideWhenUsed/>
    <w:qFormat/>
    <w:rsid w:val="00E00304"/>
    <w:pPr>
      <w:outlineLvl w:val="3"/>
    </w:pPr>
    <w:rPr>
      <w:b/>
      <w:i w:val="0"/>
      <w:spacing w:val="0"/>
      <w:sz w:val="20"/>
      <w:szCs w:val="22"/>
    </w:rPr>
  </w:style>
  <w:style w:type="paragraph" w:styleId="Heading5">
    <w:name w:val="heading 5"/>
    <w:basedOn w:val="FirstParagraph"/>
    <w:next w:val="FirstParagraph"/>
    <w:link w:val="Heading5Char"/>
    <w:autoRedefine/>
    <w:uiPriority w:val="9"/>
    <w:unhideWhenUsed/>
    <w:qFormat/>
    <w:rsid w:val="003B6F53"/>
    <w:pPr>
      <w:keepNext/>
      <w:spacing w:before="200"/>
      <w:jc w:val="left"/>
      <w:outlineLvl w:val="4"/>
    </w:pPr>
    <w:rPr>
      <w:b/>
      <w:spacing w:val="10"/>
    </w:rPr>
  </w:style>
  <w:style w:type="paragraph" w:styleId="Heading6">
    <w:name w:val="heading 6"/>
    <w:basedOn w:val="Normal"/>
    <w:next w:val="FirstParagraph"/>
    <w:link w:val="Heading6Char"/>
    <w:autoRedefine/>
    <w:uiPriority w:val="9"/>
    <w:unhideWhenUsed/>
    <w:qFormat/>
    <w:rsid w:val="002D755F"/>
    <w:pPr>
      <w:jc w:val="left"/>
      <w:outlineLvl w:val="5"/>
    </w:pPr>
    <w:rPr>
      <w:smallCaps/>
      <w:color w:val="404040" w:themeColor="text1" w:themeTint="BF"/>
      <w:spacing w:val="5"/>
    </w:rPr>
  </w:style>
  <w:style w:type="paragraph" w:styleId="Heading7">
    <w:name w:val="heading 7"/>
    <w:basedOn w:val="Normal"/>
    <w:next w:val="Normal"/>
    <w:link w:val="Heading7Char"/>
    <w:uiPriority w:val="9"/>
    <w:unhideWhenUsed/>
    <w:qFormat/>
    <w:rsid w:val="002D755F"/>
    <w:pPr>
      <w:jc w:val="left"/>
      <w:outlineLvl w:val="6"/>
    </w:pPr>
    <w:rPr>
      <w:b/>
      <w:smallCaps/>
      <w:color w:val="7F7F7F" w:themeColor="text1" w:themeTint="80"/>
      <w:spacing w:val="10"/>
    </w:rPr>
  </w:style>
  <w:style w:type="paragraph" w:styleId="Heading8">
    <w:name w:val="heading 8"/>
    <w:basedOn w:val="Normal"/>
    <w:next w:val="Normal"/>
    <w:link w:val="Heading8Char"/>
    <w:uiPriority w:val="9"/>
    <w:unhideWhenUsed/>
    <w:qFormat/>
    <w:rsid w:val="00BC7E80"/>
    <w:pPr>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BC7E80"/>
    <w:pPr>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00304"/>
    <w:pPr>
      <w:ind w:firstLine="288"/>
    </w:pPr>
    <w:rPr>
      <w:szCs w:val="26"/>
    </w:rPr>
  </w:style>
  <w:style w:type="paragraph" w:customStyle="1" w:styleId="FirstParagraph">
    <w:name w:val="First Paragraph"/>
    <w:basedOn w:val="BodyText"/>
    <w:next w:val="BodyText"/>
    <w:link w:val="FirstParagraphChar"/>
    <w:autoRedefine/>
    <w:qFormat/>
    <w:rsid w:val="0036746A"/>
    <w:pPr>
      <w:ind w:firstLine="0"/>
    </w:pPr>
  </w:style>
  <w:style w:type="paragraph" w:customStyle="1" w:styleId="Compact">
    <w:name w:val="Compact"/>
    <w:basedOn w:val="BodyText"/>
    <w:qFormat/>
    <w:rsid w:val="008B526C"/>
    <w:pPr>
      <w:spacing w:before="240" w:after="240" w:line="240" w:lineRule="auto"/>
      <w:ind w:firstLine="0"/>
    </w:pPr>
  </w:style>
  <w:style w:type="paragraph" w:styleId="Title">
    <w:name w:val="Title"/>
    <w:basedOn w:val="Normal"/>
    <w:next w:val="Normal"/>
    <w:link w:val="TitleChar"/>
    <w:autoRedefine/>
    <w:uiPriority w:val="10"/>
    <w:qFormat/>
    <w:rsid w:val="000F5B3E"/>
    <w:pPr>
      <w:framePr w:wrap="notBeside" w:vAnchor="text" w:hAnchor="text" w:xAlign="center" w:y="1"/>
      <w:suppressAutoHyphens/>
      <w:spacing w:before="2000" w:line="192" w:lineRule="auto"/>
      <w:jc w:val="center"/>
    </w:pPr>
    <w:rPr>
      <w:rFonts w:ascii="Libertinus Serif Display" w:hAnsi="Libertinus Serif Display"/>
      <w:smallCaps/>
      <w:spacing w:val="8"/>
      <w:sz w:val="44"/>
      <w:szCs w:val="48"/>
    </w:rPr>
  </w:style>
  <w:style w:type="paragraph" w:styleId="Subtitle">
    <w:name w:val="Subtitle"/>
    <w:basedOn w:val="Normal"/>
    <w:next w:val="Normal"/>
    <w:link w:val="SubtitleChar"/>
    <w:autoRedefine/>
    <w:uiPriority w:val="11"/>
    <w:qFormat/>
    <w:rsid w:val="006E2ADE"/>
    <w:pPr>
      <w:jc w:val="center"/>
    </w:pPr>
    <w:rPr>
      <w:rFonts w:eastAsiaTheme="majorEastAsia" w:cstheme="majorBidi"/>
      <w:szCs w:val="22"/>
    </w:rPr>
  </w:style>
  <w:style w:type="paragraph" w:customStyle="1" w:styleId="Author">
    <w:name w:val="Author"/>
    <w:basedOn w:val="Normal"/>
    <w:next w:val="BodyText"/>
    <w:autoRedefine/>
    <w:qFormat/>
    <w:rsid w:val="007E3680"/>
    <w:pPr>
      <w:keepLines/>
      <w:spacing w:before="300"/>
      <w:jc w:val="center"/>
    </w:pPr>
  </w:style>
  <w:style w:type="paragraph" w:styleId="Date">
    <w:name w:val="Date"/>
    <w:basedOn w:val="Normal"/>
    <w:next w:val="BodyText"/>
    <w:qFormat/>
    <w:rsid w:val="00FF45ED"/>
    <w:pPr>
      <w:keepLines/>
      <w:spacing w:after="300"/>
      <w:jc w:val="center"/>
    </w:pPr>
  </w:style>
  <w:style w:type="paragraph" w:customStyle="1" w:styleId="Abstract">
    <w:name w:val="Abstract"/>
    <w:basedOn w:val="Normal"/>
    <w:next w:val="BodyText"/>
    <w:autoRedefine/>
    <w:qFormat/>
    <w:rsid w:val="00E00304"/>
    <w:pPr>
      <w:spacing w:before="300" w:after="300" w:line="240" w:lineRule="auto"/>
      <w:ind w:left="576" w:right="576"/>
    </w:pPr>
    <w:rPr>
      <w:sz w:val="21"/>
      <w:szCs w:val="22"/>
    </w:rPr>
  </w:style>
  <w:style w:type="paragraph" w:styleId="Bibliography">
    <w:name w:val="Bibliography"/>
    <w:basedOn w:val="Normal"/>
    <w:qFormat/>
    <w:rsid w:val="00BE7880"/>
    <w:pPr>
      <w:ind w:left="432" w:hanging="432"/>
    </w:pPr>
    <w:rPr>
      <w:sz w:val="20"/>
    </w:rPr>
  </w:style>
  <w:style w:type="paragraph" w:styleId="BlockText">
    <w:name w:val="Block Text"/>
    <w:basedOn w:val="BodyText"/>
    <w:next w:val="FirstParagraph"/>
    <w:uiPriority w:val="9"/>
    <w:unhideWhenUsed/>
    <w:qFormat/>
    <w:rsid w:val="008B526C"/>
    <w:pPr>
      <w:spacing w:before="240" w:after="240"/>
      <w:ind w:left="576" w:right="576" w:firstLine="0"/>
    </w:pPr>
    <w:rPr>
      <w:sz w:val="21"/>
      <w:szCs w:val="24"/>
    </w:rPr>
  </w:style>
  <w:style w:type="paragraph" w:styleId="FootnoteText">
    <w:name w:val="footnote text"/>
    <w:basedOn w:val="Normal"/>
    <w:link w:val="FootnoteTextChar"/>
    <w:autoRedefine/>
    <w:uiPriority w:val="9"/>
    <w:unhideWhenUsed/>
    <w:qFormat/>
    <w:rsid w:val="008C1072"/>
    <w:pPr>
      <w:spacing w:before="80" w:after="80" w:line="240" w:lineRule="auto"/>
      <w:ind w:firstLine="288"/>
    </w:pPr>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autoRedefine/>
    <w:qFormat/>
    <w:rsid w:val="000414A2"/>
    <w:pPr>
      <w:keepNext/>
      <w:keepLines/>
      <w:spacing w:before="180"/>
      <w:ind w:left="432"/>
    </w:pPr>
    <w:rPr>
      <w:b/>
    </w:rPr>
  </w:style>
  <w:style w:type="paragraph" w:customStyle="1" w:styleId="Definition">
    <w:name w:val="Definition"/>
    <w:basedOn w:val="Normal"/>
    <w:qFormat/>
    <w:rsid w:val="000414A2"/>
    <w:pPr>
      <w:spacing w:after="180"/>
      <w:ind w:left="720"/>
    </w:pPr>
  </w:style>
  <w:style w:type="paragraph" w:styleId="Caption">
    <w:name w:val="caption"/>
    <w:basedOn w:val="Normal"/>
    <w:next w:val="Normal"/>
    <w:link w:val="CaptionChar"/>
    <w:uiPriority w:val="35"/>
    <w:unhideWhenUsed/>
    <w:qFormat/>
    <w:rsid w:val="00BC7E80"/>
    <w:rPr>
      <w:b/>
      <w:bCs/>
      <w:caps/>
      <w:sz w:val="16"/>
      <w:szCs w:val="18"/>
    </w:rPr>
  </w:style>
  <w:style w:type="paragraph" w:customStyle="1" w:styleId="TableCaption">
    <w:name w:val="Table Caption"/>
    <w:basedOn w:val="Caption"/>
    <w:pPr>
      <w:keepNext/>
    </w:pPr>
  </w:style>
  <w:style w:type="paragraph" w:customStyle="1" w:styleId="ImageCaption">
    <w:name w:val="Image Caption"/>
    <w:basedOn w:val="Caption"/>
    <w:rsid w:val="00EE120E"/>
    <w:pPr>
      <w:spacing w:before="240" w:after="240"/>
    </w:pPr>
  </w:style>
  <w:style w:type="paragraph" w:customStyle="1" w:styleId="Figure">
    <w:name w:val="Figure"/>
    <w:basedOn w:val="Normal"/>
  </w:style>
  <w:style w:type="paragraph" w:customStyle="1" w:styleId="CaptionedFigure">
    <w:name w:val="Captioned Figure"/>
    <w:basedOn w:val="Figure"/>
    <w:rsid w:val="00EE120E"/>
    <w:pPr>
      <w:keepNext/>
      <w:spacing w:before="240" w:after="240"/>
    </w:pPr>
  </w:style>
  <w:style w:type="character" w:customStyle="1" w:styleId="CaptionChar">
    <w:name w:val="Caption Char"/>
    <w:basedOn w:val="DefaultParagraphFont"/>
    <w:link w:val="Caption"/>
    <w:uiPriority w:val="35"/>
    <w:rsid w:val="00BC7E80"/>
    <w:rPr>
      <w:rFonts w:ascii="LM Roman 10" w:hAnsi="LM Roman 10" w:cs="Times New Roman (Body CS)"/>
      <w:b/>
      <w:bCs/>
      <w:caps/>
      <w:sz w:val="16"/>
      <w:szCs w:val="18"/>
    </w:rPr>
  </w:style>
  <w:style w:type="character" w:customStyle="1" w:styleId="VerbatimChar">
    <w:name w:val="Verbatim Char"/>
    <w:basedOn w:val="CaptionChar"/>
    <w:link w:val="SourceCode"/>
    <w:rsid w:val="000D25E7"/>
    <w:rPr>
      <w:rFonts w:ascii="Menlo" w:hAnsi="Menlo" w:cs="Times New Roman (Body CS)"/>
      <w:b w:val="0"/>
      <w:bCs w:val="0"/>
      <w:caps w:val="0"/>
      <w:sz w:val="21"/>
      <w:szCs w:val="18"/>
      <w:shd w:val="clear" w:color="auto" w:fill="D9D9D9" w:themeFill="background1" w:themeFillShade="D9"/>
    </w:rPr>
  </w:style>
  <w:style w:type="character" w:customStyle="1" w:styleId="SectionNumber">
    <w:name w:val="Section Number"/>
    <w:basedOn w:val="CaptionChar"/>
    <w:rPr>
      <w:rFonts w:ascii="LM Roman 10" w:hAnsi="LM Roman 10" w:cs="Times New Roman (Body CS)"/>
      <w:b/>
      <w:bCs/>
      <w:caps/>
      <w:sz w:val="16"/>
      <w:szCs w:val="18"/>
    </w:rPr>
  </w:style>
  <w:style w:type="character" w:styleId="FootnoteReference">
    <w:name w:val="footnote reference"/>
    <w:qFormat/>
    <w:rsid w:val="00E11E9A"/>
    <w:rPr>
      <w:rFonts w:cs="Times New Roman (Body CS)"/>
      <w:szCs w:val="24"/>
      <w:vertAlign w:val="superscript"/>
    </w:rPr>
  </w:style>
  <w:style w:type="character" w:styleId="Hyperlink">
    <w:name w:val="Hyperlink"/>
    <w:qFormat/>
    <w:rsid w:val="000D25E7"/>
    <w:rPr>
      <w:b w:val="0"/>
      <w:color w:val="0000FF"/>
      <w:u w:val="single"/>
    </w:rPr>
  </w:style>
  <w:style w:type="paragraph" w:styleId="TOCHeading">
    <w:name w:val="TOC Heading"/>
    <w:basedOn w:val="Heading1"/>
    <w:next w:val="Normal"/>
    <w:uiPriority w:val="39"/>
    <w:unhideWhenUsed/>
    <w:qFormat/>
    <w:rsid w:val="00BC7E80"/>
    <w:pPr>
      <w:outlineLvl w:val="9"/>
    </w:pPr>
  </w:style>
  <w:style w:type="paragraph" w:customStyle="1" w:styleId="SourceCode">
    <w:name w:val="Source Code"/>
    <w:basedOn w:val="Normal"/>
    <w:link w:val="VerbatimChar"/>
    <w:autoRedefine/>
    <w:qFormat/>
    <w:rsid w:val="000D25E7"/>
    <w:pPr>
      <w:pBdr>
        <w:top w:val="single" w:sz="4" w:space="12" w:color="auto" w:shadow="1"/>
        <w:left w:val="single" w:sz="4" w:space="12" w:color="auto" w:shadow="1"/>
        <w:bottom w:val="single" w:sz="4" w:space="12" w:color="auto" w:shadow="1"/>
        <w:right w:val="single" w:sz="4" w:space="12" w:color="auto" w:shadow="1"/>
      </w:pBdr>
      <w:shd w:val="clear" w:color="auto" w:fill="D9D9D9" w:themeFill="background1" w:themeFillShade="D9"/>
      <w:wordWrap w:val="0"/>
      <w:spacing w:before="300" w:after="300"/>
      <w:ind w:left="720" w:right="720"/>
      <w:contextualSpacing w:val="0"/>
      <w:jc w:val="left"/>
    </w:pPr>
    <w:rPr>
      <w:rFonts w:ascii="Menlo" w:hAnsi="Menlo"/>
      <w:sz w:val="21"/>
      <w:szCs w:val="18"/>
    </w:rPr>
  </w:style>
  <w:style w:type="character" w:customStyle="1" w:styleId="Heading1Char">
    <w:name w:val="Heading 1 Char"/>
    <w:basedOn w:val="DefaultParagraphFont"/>
    <w:link w:val="Heading1"/>
    <w:uiPriority w:val="9"/>
    <w:rsid w:val="000414A2"/>
    <w:rPr>
      <w:rFonts w:ascii="Libertinus Serif Display" w:hAnsi="Libertinus Serif Display" w:cs="Times New Roman (Body CS)"/>
      <w:b/>
      <w:smallCaps/>
      <w:spacing w:val="6"/>
      <w:sz w:val="28"/>
      <w:szCs w:val="32"/>
    </w:rPr>
  </w:style>
  <w:style w:type="character" w:customStyle="1" w:styleId="Heading2Char">
    <w:name w:val="Heading 2 Char"/>
    <w:basedOn w:val="DefaultParagraphFont"/>
    <w:link w:val="Heading2"/>
    <w:uiPriority w:val="9"/>
    <w:rsid w:val="000741CA"/>
    <w:rPr>
      <w:rFonts w:ascii="LM Roman Caps 10" w:hAnsi="LM Roman Caps 10" w:cs="Times New Roman (Body CS)"/>
      <w:smallCaps/>
      <w:spacing w:val="5"/>
      <w:sz w:val="28"/>
      <w:szCs w:val="28"/>
    </w:rPr>
  </w:style>
  <w:style w:type="character" w:customStyle="1" w:styleId="Heading3Char">
    <w:name w:val="Heading 3 Char"/>
    <w:basedOn w:val="DefaultParagraphFont"/>
    <w:link w:val="Heading3"/>
    <w:uiPriority w:val="9"/>
    <w:rsid w:val="00E00304"/>
    <w:rPr>
      <w:rFonts w:ascii="Libertinus Serif" w:hAnsi="Libertinus Serif" w:cs="Times New Roman (Body CS)"/>
      <w:i/>
      <w:spacing w:val="5"/>
      <w:sz w:val="24"/>
      <w:szCs w:val="24"/>
    </w:rPr>
  </w:style>
  <w:style w:type="character" w:customStyle="1" w:styleId="Heading4Char">
    <w:name w:val="Heading 4 Char"/>
    <w:basedOn w:val="DefaultParagraphFont"/>
    <w:link w:val="Heading4"/>
    <w:uiPriority w:val="9"/>
    <w:rsid w:val="00E00304"/>
    <w:rPr>
      <w:rFonts w:ascii="Libertinus Serif" w:hAnsi="Libertinus Serif" w:cs="Times New Roman (Body CS)"/>
      <w:b/>
      <w:szCs w:val="22"/>
    </w:rPr>
  </w:style>
  <w:style w:type="character" w:customStyle="1" w:styleId="Heading5Char">
    <w:name w:val="Heading 5 Char"/>
    <w:basedOn w:val="DefaultParagraphFont"/>
    <w:link w:val="Heading5"/>
    <w:uiPriority w:val="9"/>
    <w:rsid w:val="003B6F53"/>
    <w:rPr>
      <w:rFonts w:ascii="Charter" w:hAnsi="Charter" w:cs="Times New Roman (Body CS)"/>
      <w:b/>
      <w:spacing w:val="10"/>
      <w:sz w:val="22"/>
      <w:szCs w:val="26"/>
    </w:rPr>
  </w:style>
  <w:style w:type="character" w:customStyle="1" w:styleId="Heading6Char">
    <w:name w:val="Heading 6 Char"/>
    <w:basedOn w:val="DefaultParagraphFont"/>
    <w:link w:val="Heading6"/>
    <w:uiPriority w:val="9"/>
    <w:rsid w:val="002D755F"/>
    <w:rPr>
      <w:rFonts w:ascii="LM Roman 10" w:hAnsi="LM Roman 10" w:cs="Times New Roman (Body CS)"/>
      <w:smallCaps/>
      <w:color w:val="404040" w:themeColor="text1" w:themeTint="BF"/>
      <w:spacing w:val="5"/>
      <w:sz w:val="22"/>
    </w:rPr>
  </w:style>
  <w:style w:type="character" w:customStyle="1" w:styleId="Heading7Char">
    <w:name w:val="Heading 7 Char"/>
    <w:basedOn w:val="DefaultParagraphFont"/>
    <w:link w:val="Heading7"/>
    <w:uiPriority w:val="9"/>
    <w:rsid w:val="002D755F"/>
    <w:rPr>
      <w:rFonts w:ascii="LM Roman 10" w:hAnsi="LM Roman 10" w:cs="Times New Roman (Body CS)"/>
      <w:b/>
      <w:smallCaps/>
      <w:color w:val="7F7F7F" w:themeColor="text1" w:themeTint="80"/>
      <w:spacing w:val="10"/>
      <w:sz w:val="24"/>
    </w:rPr>
  </w:style>
  <w:style w:type="character" w:customStyle="1" w:styleId="Heading8Char">
    <w:name w:val="Heading 8 Char"/>
    <w:basedOn w:val="DefaultParagraphFont"/>
    <w:link w:val="Heading8"/>
    <w:uiPriority w:val="9"/>
    <w:rsid w:val="00BC7E80"/>
    <w:rPr>
      <w:rFonts w:ascii="LM Roman 10" w:hAnsi="LM Roman 10" w:cs="Times New Roman (Body CS)"/>
      <w:b/>
      <w:i/>
      <w:smallCaps/>
      <w:color w:val="943634" w:themeColor="accent2" w:themeShade="BF"/>
      <w:sz w:val="24"/>
    </w:rPr>
  </w:style>
  <w:style w:type="character" w:customStyle="1" w:styleId="Heading9Char">
    <w:name w:val="Heading 9 Char"/>
    <w:basedOn w:val="DefaultParagraphFont"/>
    <w:link w:val="Heading9"/>
    <w:uiPriority w:val="9"/>
    <w:rsid w:val="00BC7E80"/>
    <w:rPr>
      <w:rFonts w:ascii="LM Roman 10" w:hAnsi="LM Roman 10" w:cs="Times New Roman (Body CS)"/>
      <w:b/>
      <w:i/>
      <w:smallCaps/>
      <w:color w:val="622423" w:themeColor="accent2" w:themeShade="7F"/>
      <w:sz w:val="24"/>
    </w:rPr>
  </w:style>
  <w:style w:type="character" w:customStyle="1" w:styleId="FootnoteTextChar">
    <w:name w:val="Footnote Text Char"/>
    <w:basedOn w:val="DefaultParagraphFont"/>
    <w:link w:val="FootnoteText"/>
    <w:uiPriority w:val="9"/>
    <w:rsid w:val="008C1072"/>
    <w:rPr>
      <w:rFonts w:ascii="Libertinus Serif" w:hAnsi="Libertinus Serif" w:cs="Times New Roman (Body CS)"/>
      <w:sz w:val="18"/>
    </w:rPr>
  </w:style>
  <w:style w:type="character" w:customStyle="1" w:styleId="TitleChar">
    <w:name w:val="Title Char"/>
    <w:basedOn w:val="DefaultParagraphFont"/>
    <w:link w:val="Title"/>
    <w:uiPriority w:val="10"/>
    <w:rsid w:val="000F5B3E"/>
    <w:rPr>
      <w:rFonts w:ascii="Libertinus Serif Display" w:hAnsi="Libertinus Serif Display" w:cs="Times New Roman (Body CS)"/>
      <w:smallCaps/>
      <w:spacing w:val="8"/>
      <w:sz w:val="44"/>
      <w:szCs w:val="48"/>
    </w:rPr>
  </w:style>
  <w:style w:type="character" w:customStyle="1" w:styleId="BodyTextChar">
    <w:name w:val="Body Text Char"/>
    <w:basedOn w:val="DefaultParagraphFont"/>
    <w:link w:val="BodyText"/>
    <w:rsid w:val="00E00304"/>
    <w:rPr>
      <w:rFonts w:ascii="Libertinus Serif" w:hAnsi="Libertinus Serif" w:cs="Times New Roman (Body CS)"/>
      <w:sz w:val="22"/>
      <w:szCs w:val="26"/>
    </w:rPr>
  </w:style>
  <w:style w:type="character" w:customStyle="1" w:styleId="SubtitleChar">
    <w:name w:val="Subtitle Char"/>
    <w:basedOn w:val="DefaultParagraphFont"/>
    <w:link w:val="Subtitle"/>
    <w:uiPriority w:val="11"/>
    <w:rsid w:val="006E2ADE"/>
    <w:rPr>
      <w:rFonts w:ascii="Libertinus Serif" w:eastAsiaTheme="majorEastAsia" w:hAnsi="Libertinus Serif" w:cstheme="majorBidi"/>
      <w:sz w:val="24"/>
      <w:szCs w:val="22"/>
    </w:rPr>
  </w:style>
  <w:style w:type="character" w:styleId="Strong">
    <w:name w:val="Strong"/>
    <w:uiPriority w:val="22"/>
    <w:qFormat/>
    <w:rsid w:val="00BC7E80"/>
    <w:rPr>
      <w:b/>
      <w:color w:val="C0504D" w:themeColor="accent2"/>
    </w:rPr>
  </w:style>
  <w:style w:type="character" w:styleId="Emphasis">
    <w:name w:val="Emphasis"/>
    <w:uiPriority w:val="20"/>
    <w:qFormat/>
    <w:rsid w:val="00BC7E80"/>
    <w:rPr>
      <w:b/>
      <w:i/>
      <w:spacing w:val="10"/>
    </w:rPr>
  </w:style>
  <w:style w:type="paragraph" w:styleId="NoSpacing">
    <w:name w:val="No Spacing"/>
    <w:basedOn w:val="Normal"/>
    <w:link w:val="NoSpacingChar"/>
    <w:uiPriority w:val="1"/>
    <w:qFormat/>
    <w:rsid w:val="00BC7E80"/>
  </w:style>
  <w:style w:type="character" w:customStyle="1" w:styleId="NoSpacingChar">
    <w:name w:val="No Spacing Char"/>
    <w:basedOn w:val="DefaultParagraphFont"/>
    <w:link w:val="NoSpacing"/>
    <w:uiPriority w:val="1"/>
    <w:rsid w:val="00BC7E80"/>
    <w:rPr>
      <w:rFonts w:ascii="LM Roman 10" w:hAnsi="LM Roman 10" w:cs="Times New Roman (Body CS)"/>
      <w:sz w:val="24"/>
    </w:rPr>
  </w:style>
  <w:style w:type="paragraph" w:styleId="ListParagraph">
    <w:name w:val="List Paragraph"/>
    <w:basedOn w:val="Normal"/>
    <w:uiPriority w:val="34"/>
    <w:qFormat/>
    <w:rsid w:val="00BC7E80"/>
    <w:pPr>
      <w:ind w:left="720"/>
    </w:pPr>
  </w:style>
  <w:style w:type="paragraph" w:styleId="Quote">
    <w:name w:val="Quote"/>
    <w:basedOn w:val="Normal"/>
    <w:next w:val="Normal"/>
    <w:link w:val="QuoteChar"/>
    <w:uiPriority w:val="29"/>
    <w:qFormat/>
    <w:rsid w:val="00BC7E80"/>
    <w:rPr>
      <w:i/>
    </w:rPr>
  </w:style>
  <w:style w:type="character" w:customStyle="1" w:styleId="QuoteChar">
    <w:name w:val="Quote Char"/>
    <w:basedOn w:val="DefaultParagraphFont"/>
    <w:link w:val="Quote"/>
    <w:uiPriority w:val="29"/>
    <w:rsid w:val="00BC7E80"/>
    <w:rPr>
      <w:rFonts w:ascii="LM Roman 10" w:hAnsi="LM Roman 10" w:cs="Times New Roman (Body CS)"/>
      <w:i/>
      <w:sz w:val="24"/>
    </w:rPr>
  </w:style>
  <w:style w:type="paragraph" w:styleId="IntenseQuote">
    <w:name w:val="Intense Quote"/>
    <w:basedOn w:val="Normal"/>
    <w:next w:val="Normal"/>
    <w:link w:val="IntenseQuoteChar"/>
    <w:uiPriority w:val="30"/>
    <w:qFormat/>
    <w:rsid w:val="00BC7E8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C7E80"/>
    <w:rPr>
      <w:rFonts w:ascii="LM Roman 10" w:hAnsi="LM Roman 10" w:cs="Times New Roman (Body CS)"/>
      <w:b/>
      <w:i/>
      <w:color w:val="FFFFFF" w:themeColor="background1"/>
      <w:sz w:val="24"/>
      <w:shd w:val="clear" w:color="auto" w:fill="C0504D" w:themeFill="accent2"/>
    </w:rPr>
  </w:style>
  <w:style w:type="character" w:styleId="SubtleEmphasis">
    <w:name w:val="Subtle Emphasis"/>
    <w:uiPriority w:val="19"/>
    <w:qFormat/>
    <w:rsid w:val="00BC7E80"/>
    <w:rPr>
      <w:i/>
    </w:rPr>
  </w:style>
  <w:style w:type="character" w:styleId="IntenseEmphasis">
    <w:name w:val="Intense Emphasis"/>
    <w:uiPriority w:val="21"/>
    <w:qFormat/>
    <w:rsid w:val="00BC7E80"/>
    <w:rPr>
      <w:b/>
      <w:i/>
      <w:color w:val="C0504D" w:themeColor="accent2"/>
      <w:spacing w:val="10"/>
    </w:rPr>
  </w:style>
  <w:style w:type="character" w:styleId="SubtleReference">
    <w:name w:val="Subtle Reference"/>
    <w:uiPriority w:val="31"/>
    <w:qFormat/>
    <w:rsid w:val="00BC7E80"/>
    <w:rPr>
      <w:b/>
    </w:rPr>
  </w:style>
  <w:style w:type="character" w:styleId="IntenseReference">
    <w:name w:val="Intense Reference"/>
    <w:uiPriority w:val="32"/>
    <w:qFormat/>
    <w:rsid w:val="00BC7E80"/>
    <w:rPr>
      <w:b/>
      <w:bCs/>
      <w:smallCaps/>
      <w:spacing w:val="5"/>
      <w:sz w:val="22"/>
      <w:szCs w:val="22"/>
      <w:u w:val="single"/>
    </w:rPr>
  </w:style>
  <w:style w:type="character" w:styleId="BookTitle">
    <w:name w:val="Book Title"/>
    <w:uiPriority w:val="33"/>
    <w:qFormat/>
    <w:rsid w:val="00BC7E80"/>
    <w:rPr>
      <w:rFonts w:asciiTheme="majorHAnsi" w:eastAsiaTheme="majorEastAsia" w:hAnsiTheme="majorHAnsi" w:cstheme="majorBidi"/>
      <w:i/>
      <w:iCs/>
      <w:sz w:val="20"/>
      <w:szCs w:val="20"/>
    </w:rPr>
  </w:style>
  <w:style w:type="character" w:customStyle="1" w:styleId="FirstParagraphChar">
    <w:name w:val="First Paragraph Char"/>
    <w:basedOn w:val="BodyTextChar"/>
    <w:link w:val="FirstParagraph"/>
    <w:rsid w:val="0036746A"/>
    <w:rPr>
      <w:rFonts w:ascii="Charter" w:hAnsi="Charter" w:cs="Times New Roman (Body CS)"/>
      <w:spacing w:val="4"/>
      <w:sz w:val="24"/>
      <w:szCs w:val="26"/>
    </w:rPr>
  </w:style>
  <w:style w:type="character" w:customStyle="1" w:styleId="KeywordTok">
    <w:name w:val="KeywordTok"/>
    <w:basedOn w:val="VerbatimChar"/>
    <w:rPr>
      <w:rFonts w:ascii="Menlo" w:hAnsi="Menlo" w:cs="Times New Roman (Body CS)"/>
      <w:b/>
      <w:bCs w:val="0"/>
      <w:caps w:val="0"/>
      <w:color w:val="007020"/>
      <w:sz w:val="21"/>
      <w:szCs w:val="18"/>
      <w:shd w:val="clear" w:color="auto" w:fill="D9D9D9" w:themeFill="background1" w:themeFillShade="D9"/>
    </w:rPr>
  </w:style>
  <w:style w:type="character" w:customStyle="1" w:styleId="DataTypeTok">
    <w:name w:val="DataTypeTok"/>
    <w:basedOn w:val="VerbatimChar"/>
    <w:rPr>
      <w:rFonts w:ascii="Menlo" w:hAnsi="Menlo" w:cs="Times New Roman (Body CS)"/>
      <w:b w:val="0"/>
      <w:bCs w:val="0"/>
      <w:caps w:val="0"/>
      <w:color w:val="902000"/>
      <w:sz w:val="21"/>
      <w:szCs w:val="18"/>
      <w:shd w:val="clear" w:color="auto" w:fill="D9D9D9" w:themeFill="background1" w:themeFillShade="D9"/>
    </w:rPr>
  </w:style>
  <w:style w:type="character" w:customStyle="1" w:styleId="DecValTok">
    <w:name w:val="DecVal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BaseNTok">
    <w:name w:val="BaseN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FloatTok">
    <w:name w:val="Float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ConstantTok">
    <w:name w:val="ConstantTok"/>
    <w:basedOn w:val="VerbatimChar"/>
    <w:rPr>
      <w:rFonts w:ascii="Menlo" w:hAnsi="Menlo" w:cs="Times New Roman (Body CS)"/>
      <w:b w:val="0"/>
      <w:bCs w:val="0"/>
      <w:caps w:val="0"/>
      <w:color w:val="880000"/>
      <w:sz w:val="21"/>
      <w:szCs w:val="18"/>
      <w:shd w:val="clear" w:color="auto" w:fill="D9D9D9" w:themeFill="background1" w:themeFillShade="D9"/>
    </w:rPr>
  </w:style>
  <w:style w:type="character" w:customStyle="1" w:styleId="CharTok">
    <w:name w:val="Char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pecialCharTok">
    <w:name w:val="SpecialChar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tringTok">
    <w:name w:val="String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VerbatimStringTok">
    <w:name w:val="VerbatimString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pecialStringTok">
    <w:name w:val="SpecialStringTok"/>
    <w:basedOn w:val="VerbatimChar"/>
    <w:rPr>
      <w:rFonts w:ascii="Menlo" w:hAnsi="Menlo" w:cs="Times New Roman (Body CS)"/>
      <w:b w:val="0"/>
      <w:bCs w:val="0"/>
      <w:caps w:val="0"/>
      <w:color w:val="BB6688"/>
      <w:sz w:val="21"/>
      <w:szCs w:val="18"/>
      <w:shd w:val="clear" w:color="auto" w:fill="D9D9D9" w:themeFill="background1" w:themeFillShade="D9"/>
    </w:rPr>
  </w:style>
  <w:style w:type="character" w:customStyle="1" w:styleId="ImportTok">
    <w:name w:val="ImportTok"/>
    <w:basedOn w:val="VerbatimChar"/>
    <w:rPr>
      <w:rFonts w:ascii="Menlo" w:hAnsi="Menlo" w:cs="Times New Roman (Body CS)"/>
      <w:b/>
      <w:bCs w:val="0"/>
      <w:caps w:val="0"/>
      <w:color w:val="008000"/>
      <w:sz w:val="21"/>
      <w:szCs w:val="18"/>
      <w:shd w:val="clear" w:color="auto" w:fill="D9D9D9" w:themeFill="background1" w:themeFillShade="D9"/>
    </w:rPr>
  </w:style>
  <w:style w:type="character" w:customStyle="1" w:styleId="CommentTok">
    <w:name w:val="CommentTok"/>
    <w:basedOn w:val="VerbatimChar"/>
    <w:rPr>
      <w:rFonts w:ascii="Menlo" w:hAnsi="Menlo" w:cs="Times New Roman (Body CS)"/>
      <w:b w:val="0"/>
      <w:bCs w:val="0"/>
      <w:i/>
      <w:caps w:val="0"/>
      <w:color w:val="60A0B0"/>
      <w:sz w:val="21"/>
      <w:szCs w:val="18"/>
      <w:shd w:val="clear" w:color="auto" w:fill="D9D9D9" w:themeFill="background1" w:themeFillShade="D9"/>
    </w:rPr>
  </w:style>
  <w:style w:type="character" w:customStyle="1" w:styleId="DocumentationTok">
    <w:name w:val="DocumentationTok"/>
    <w:basedOn w:val="VerbatimChar"/>
    <w:rPr>
      <w:rFonts w:ascii="Menlo" w:hAnsi="Menlo" w:cs="Times New Roman (Body CS)"/>
      <w:b w:val="0"/>
      <w:bCs w:val="0"/>
      <w:i/>
      <w:caps w:val="0"/>
      <w:color w:val="BA2121"/>
      <w:sz w:val="21"/>
      <w:szCs w:val="18"/>
      <w:shd w:val="clear" w:color="auto" w:fill="D9D9D9" w:themeFill="background1" w:themeFillShade="D9"/>
    </w:rPr>
  </w:style>
  <w:style w:type="character" w:customStyle="1" w:styleId="AnnotationTok">
    <w:name w:val="Annotation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CommentVarTok">
    <w:name w:val="CommentVar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OtherTok">
    <w:name w:val="OtherTok"/>
    <w:basedOn w:val="VerbatimChar"/>
    <w:rPr>
      <w:rFonts w:ascii="Menlo" w:hAnsi="Menlo" w:cs="Times New Roman (Body CS)"/>
      <w:b w:val="0"/>
      <w:bCs w:val="0"/>
      <w:caps w:val="0"/>
      <w:color w:val="007020"/>
      <w:sz w:val="21"/>
      <w:szCs w:val="18"/>
      <w:shd w:val="clear" w:color="auto" w:fill="D9D9D9" w:themeFill="background1" w:themeFillShade="D9"/>
    </w:rPr>
  </w:style>
  <w:style w:type="character" w:customStyle="1" w:styleId="FunctionTok">
    <w:name w:val="FunctionTok"/>
    <w:basedOn w:val="VerbatimChar"/>
    <w:rPr>
      <w:rFonts w:ascii="Menlo" w:hAnsi="Menlo" w:cs="Times New Roman (Body CS)"/>
      <w:b w:val="0"/>
      <w:bCs w:val="0"/>
      <w:caps w:val="0"/>
      <w:color w:val="06287E"/>
      <w:sz w:val="21"/>
      <w:szCs w:val="18"/>
      <w:shd w:val="clear" w:color="auto" w:fill="D9D9D9" w:themeFill="background1" w:themeFillShade="D9"/>
    </w:rPr>
  </w:style>
  <w:style w:type="character" w:customStyle="1" w:styleId="VariableTok">
    <w:name w:val="VariableTok"/>
    <w:basedOn w:val="VerbatimChar"/>
    <w:rPr>
      <w:rFonts w:ascii="Menlo" w:hAnsi="Menlo" w:cs="Times New Roman (Body CS)"/>
      <w:b w:val="0"/>
      <w:bCs w:val="0"/>
      <w:caps w:val="0"/>
      <w:color w:val="19177C"/>
      <w:sz w:val="21"/>
      <w:szCs w:val="18"/>
      <w:shd w:val="clear" w:color="auto" w:fill="D9D9D9" w:themeFill="background1" w:themeFillShade="D9"/>
    </w:rPr>
  </w:style>
  <w:style w:type="character" w:customStyle="1" w:styleId="ControlFlowTok">
    <w:name w:val="ControlFlowTok"/>
    <w:basedOn w:val="VerbatimChar"/>
    <w:rPr>
      <w:rFonts w:ascii="Menlo" w:hAnsi="Menlo" w:cs="Times New Roman (Body CS)"/>
      <w:b/>
      <w:bCs w:val="0"/>
      <w:caps w:val="0"/>
      <w:color w:val="007020"/>
      <w:sz w:val="21"/>
      <w:szCs w:val="18"/>
      <w:shd w:val="clear" w:color="auto" w:fill="D9D9D9" w:themeFill="background1" w:themeFillShade="D9"/>
    </w:rPr>
  </w:style>
  <w:style w:type="character" w:customStyle="1" w:styleId="OperatorTok">
    <w:name w:val="OperatorTok"/>
    <w:basedOn w:val="VerbatimChar"/>
    <w:rPr>
      <w:rFonts w:ascii="Menlo" w:hAnsi="Menlo" w:cs="Times New Roman (Body CS)"/>
      <w:b w:val="0"/>
      <w:bCs w:val="0"/>
      <w:caps w:val="0"/>
      <w:color w:val="666666"/>
      <w:sz w:val="21"/>
      <w:szCs w:val="18"/>
      <w:shd w:val="clear" w:color="auto" w:fill="D9D9D9" w:themeFill="background1" w:themeFillShade="D9"/>
    </w:rPr>
  </w:style>
  <w:style w:type="character" w:customStyle="1" w:styleId="BuiltInTok">
    <w:name w:val="BuiltInTok"/>
    <w:basedOn w:val="VerbatimChar"/>
    <w:rPr>
      <w:rFonts w:ascii="Menlo" w:hAnsi="Menlo" w:cs="Times New Roman (Body CS)"/>
      <w:b w:val="0"/>
      <w:bCs w:val="0"/>
      <w:caps w:val="0"/>
      <w:color w:val="008000"/>
      <w:sz w:val="21"/>
      <w:szCs w:val="18"/>
      <w:shd w:val="clear" w:color="auto" w:fill="D9D9D9" w:themeFill="background1" w:themeFillShade="D9"/>
    </w:rPr>
  </w:style>
  <w:style w:type="character" w:customStyle="1" w:styleId="ExtensionTok">
    <w:name w:val="ExtensionTok"/>
    <w:basedOn w:val="VerbatimChar"/>
    <w:rPr>
      <w:rFonts w:ascii="Menlo" w:hAnsi="Menlo" w:cs="Times New Roman (Body CS)"/>
      <w:b w:val="0"/>
      <w:bCs w:val="0"/>
      <w:caps w:val="0"/>
      <w:sz w:val="21"/>
      <w:szCs w:val="18"/>
      <w:shd w:val="clear" w:color="auto" w:fill="D9D9D9" w:themeFill="background1" w:themeFillShade="D9"/>
    </w:rPr>
  </w:style>
  <w:style w:type="character" w:customStyle="1" w:styleId="PreprocessorTok">
    <w:name w:val="PreprocessorTok"/>
    <w:basedOn w:val="VerbatimChar"/>
    <w:rPr>
      <w:rFonts w:ascii="Menlo" w:hAnsi="Menlo" w:cs="Times New Roman (Body CS)"/>
      <w:b w:val="0"/>
      <w:bCs w:val="0"/>
      <w:caps w:val="0"/>
      <w:color w:val="BC7A00"/>
      <w:sz w:val="21"/>
      <w:szCs w:val="18"/>
      <w:shd w:val="clear" w:color="auto" w:fill="D9D9D9" w:themeFill="background1" w:themeFillShade="D9"/>
    </w:rPr>
  </w:style>
  <w:style w:type="character" w:customStyle="1" w:styleId="AttributeTok">
    <w:name w:val="AttributeTok"/>
    <w:basedOn w:val="VerbatimChar"/>
    <w:rPr>
      <w:rFonts w:ascii="Menlo" w:hAnsi="Menlo" w:cs="Times New Roman (Body CS)"/>
      <w:b w:val="0"/>
      <w:bCs w:val="0"/>
      <w:caps w:val="0"/>
      <w:color w:val="7D9029"/>
      <w:sz w:val="21"/>
      <w:szCs w:val="18"/>
      <w:shd w:val="clear" w:color="auto" w:fill="D9D9D9" w:themeFill="background1" w:themeFillShade="D9"/>
    </w:rPr>
  </w:style>
  <w:style w:type="character" w:customStyle="1" w:styleId="RegionMarkerTok">
    <w:name w:val="RegionMarkerTok"/>
    <w:basedOn w:val="VerbatimChar"/>
    <w:rPr>
      <w:rFonts w:ascii="Menlo" w:hAnsi="Menlo" w:cs="Times New Roman (Body CS)"/>
      <w:b w:val="0"/>
      <w:bCs w:val="0"/>
      <w:caps w:val="0"/>
      <w:sz w:val="21"/>
      <w:szCs w:val="18"/>
      <w:shd w:val="clear" w:color="auto" w:fill="D9D9D9" w:themeFill="background1" w:themeFillShade="D9"/>
    </w:rPr>
  </w:style>
  <w:style w:type="character" w:customStyle="1" w:styleId="InformationTok">
    <w:name w:val="Information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WarningTok">
    <w:name w:val="Warning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AlertTok">
    <w:name w:val="AlertTok"/>
    <w:basedOn w:val="VerbatimChar"/>
    <w:rPr>
      <w:rFonts w:ascii="Menlo" w:hAnsi="Menlo" w:cs="Times New Roman (Body CS)"/>
      <w:b/>
      <w:bCs w:val="0"/>
      <w:caps w:val="0"/>
      <w:color w:val="FF0000"/>
      <w:sz w:val="21"/>
      <w:szCs w:val="18"/>
      <w:shd w:val="clear" w:color="auto" w:fill="D9D9D9" w:themeFill="background1" w:themeFillShade="D9"/>
    </w:rPr>
  </w:style>
  <w:style w:type="character" w:customStyle="1" w:styleId="ErrorTok">
    <w:name w:val="ErrorTok"/>
    <w:basedOn w:val="VerbatimChar"/>
    <w:rPr>
      <w:rFonts w:ascii="Menlo" w:hAnsi="Menlo" w:cs="Times New Roman (Body CS)"/>
      <w:b/>
      <w:bCs w:val="0"/>
      <w:caps w:val="0"/>
      <w:color w:val="FF0000"/>
      <w:sz w:val="21"/>
      <w:szCs w:val="18"/>
      <w:shd w:val="clear" w:color="auto" w:fill="D9D9D9" w:themeFill="background1" w:themeFillShade="D9"/>
    </w:rPr>
  </w:style>
  <w:style w:type="character" w:customStyle="1" w:styleId="NormalTok">
    <w:name w:val="NormalTok"/>
    <w:basedOn w:val="VerbatimChar"/>
    <w:rPr>
      <w:rFonts w:ascii="Menlo" w:hAnsi="Menlo" w:cs="Times New Roman (Body CS)"/>
      <w:b w:val="0"/>
      <w:bCs w:val="0"/>
      <w:caps w:val="0"/>
      <w:sz w:val="21"/>
      <w:szCs w:val="18"/>
      <w:shd w:val="clear" w:color="auto" w:fill="D9D9D9" w:themeFill="background1" w:themeFillShade="D9"/>
    </w:rPr>
  </w:style>
  <w:style w:type="character" w:styleId="LineNumber">
    <w:name w:val="line number"/>
    <w:basedOn w:val="DefaultParagraphFont"/>
    <w:semiHidden/>
    <w:unhideWhenUsed/>
    <w:rsid w:val="00890652"/>
  </w:style>
  <w:style w:type="paragraph" w:styleId="Header">
    <w:name w:val="header"/>
    <w:basedOn w:val="Normal"/>
    <w:link w:val="HeaderChar"/>
    <w:unhideWhenUsed/>
    <w:rsid w:val="00890652"/>
    <w:pPr>
      <w:tabs>
        <w:tab w:val="center" w:pos="4680"/>
        <w:tab w:val="right" w:pos="9360"/>
      </w:tabs>
    </w:pPr>
  </w:style>
  <w:style w:type="character" w:customStyle="1" w:styleId="HeaderChar">
    <w:name w:val="Header Char"/>
    <w:basedOn w:val="DefaultParagraphFont"/>
    <w:link w:val="Header"/>
    <w:rsid w:val="00890652"/>
    <w:rPr>
      <w:rFonts w:ascii="Charter" w:hAnsi="Charter" w:cs="Times New Roman (Body CS)"/>
      <w:sz w:val="24"/>
    </w:rPr>
  </w:style>
  <w:style w:type="paragraph" w:styleId="Footer">
    <w:name w:val="footer"/>
    <w:basedOn w:val="Normal"/>
    <w:link w:val="FooterChar"/>
    <w:autoRedefine/>
    <w:unhideWhenUsed/>
    <w:qFormat/>
    <w:rsid w:val="006A4D33"/>
    <w:pPr>
      <w:tabs>
        <w:tab w:val="center" w:pos="4680"/>
        <w:tab w:val="right" w:pos="9360"/>
      </w:tabs>
    </w:pPr>
  </w:style>
  <w:style w:type="character" w:customStyle="1" w:styleId="FooterChar">
    <w:name w:val="Footer Char"/>
    <w:basedOn w:val="DefaultParagraphFont"/>
    <w:link w:val="Footer"/>
    <w:rsid w:val="006A4D33"/>
    <w:rPr>
      <w:rFonts w:ascii="Charter" w:hAnsi="Charter" w:cs="Times New Roman (Body CS)"/>
      <w:spacing w:val="4"/>
      <w:sz w:val="24"/>
    </w:rPr>
  </w:style>
  <w:style w:type="character" w:styleId="PageNumber">
    <w:name w:val="page number"/>
    <w:basedOn w:val="DefaultParagraphFont"/>
    <w:semiHidden/>
    <w:unhideWhenUsed/>
    <w:rsid w:val="00890652"/>
  </w:style>
  <w:style w:type="character" w:styleId="UnresolvedMention">
    <w:name w:val="Unresolved Mention"/>
    <w:basedOn w:val="DefaultParagraphFont"/>
    <w:uiPriority w:val="99"/>
    <w:semiHidden/>
    <w:unhideWhenUsed/>
    <w:rsid w:val="00616559"/>
    <w:rPr>
      <w:color w:val="605E5C"/>
      <w:shd w:val="clear" w:color="auto" w:fill="E1DFDD"/>
    </w:rPr>
  </w:style>
  <w:style w:type="numbering" w:customStyle="1" w:styleId="CurrentList1">
    <w:name w:val="Current List1"/>
    <w:uiPriority w:val="99"/>
    <w:rsid w:val="00C667F9"/>
    <w:pPr>
      <w:numPr>
        <w:numId w:val="33"/>
      </w:numPr>
    </w:pPr>
  </w:style>
  <w:style w:type="numbering" w:customStyle="1" w:styleId="CurrentList2">
    <w:name w:val="Current List2"/>
    <w:uiPriority w:val="99"/>
    <w:rsid w:val="005076FD"/>
    <w:pPr>
      <w:numPr>
        <w:numId w:val="41"/>
      </w:numPr>
    </w:pPr>
  </w:style>
  <w:style w:type="numbering" w:customStyle="1" w:styleId="CurrentList3">
    <w:name w:val="Current List3"/>
    <w:uiPriority w:val="99"/>
    <w:rsid w:val="005076FD"/>
    <w:pPr>
      <w:numPr>
        <w:numId w:val="42"/>
      </w:numPr>
    </w:pPr>
  </w:style>
  <w:style w:type="numbering" w:customStyle="1" w:styleId="CurrentList4">
    <w:name w:val="Current List4"/>
    <w:uiPriority w:val="99"/>
    <w:rsid w:val="006E4F7A"/>
    <w:pPr>
      <w:numPr>
        <w:numId w:val="49"/>
      </w:numPr>
    </w:pPr>
  </w:style>
  <w:style w:type="character" w:customStyle="1" w:styleId="NoteReference">
    <w:name w:val="Note Reference"/>
    <w:uiPriority w:val="1"/>
    <w:qFormat/>
    <w:rsid w:val="00E11E9A"/>
  </w:style>
  <w:style w:type="paragraph" w:customStyle="1" w:styleId="epigraphverse">
    <w:name w:val="epigraphverse"/>
    <w:basedOn w:val="BlockText"/>
    <w:qFormat/>
    <w:rsid w:val="00222430"/>
    <w:pPr>
      <w:jc w:val="left"/>
    </w:pPr>
  </w:style>
  <w:style w:type="paragraph" w:customStyle="1" w:styleId="epigraph">
    <w:name w:val="epigraph"/>
    <w:basedOn w:val="BlockText"/>
    <w:qFormat/>
    <w:rsid w:val="00222430"/>
  </w:style>
  <w:style w:type="paragraph" w:customStyle="1" w:styleId="DisplayText">
    <w:name w:val="Display Text"/>
    <w:basedOn w:val="BlockText"/>
    <w:qFormat/>
    <w:rsid w:val="00E607ED"/>
    <w:pPr>
      <w:ind w:right="0"/>
    </w:pPr>
    <w:rPr>
      <w:sz w:val="22"/>
    </w:rPr>
  </w:style>
  <w:style w:type="paragraph" w:customStyle="1" w:styleId="Poetry">
    <w:name w:val="Poetry"/>
    <w:basedOn w:val="BlockText"/>
    <w:qFormat/>
    <w:rsid w:val="00BD1DC8"/>
    <w:pPr>
      <w:jc w:val="left"/>
    </w:pPr>
  </w:style>
  <w:style w:type="paragraph" w:customStyle="1" w:styleId="BlockText2">
    <w:name w:val="Block Text 2"/>
    <w:basedOn w:val="BlockText"/>
    <w:next w:val="FirstParagraph"/>
    <w:qFormat/>
    <w:rsid w:val="00583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90400">
      <w:bodyDiv w:val="1"/>
      <w:marLeft w:val="0"/>
      <w:marRight w:val="0"/>
      <w:marTop w:val="0"/>
      <w:marBottom w:val="0"/>
      <w:divBdr>
        <w:top w:val="none" w:sz="0" w:space="0" w:color="auto"/>
        <w:left w:val="none" w:sz="0" w:space="0" w:color="auto"/>
        <w:bottom w:val="none" w:sz="0" w:space="0" w:color="auto"/>
        <w:right w:val="none" w:sz="0" w:space="0" w:color="auto"/>
      </w:divBdr>
    </w:div>
    <w:div w:id="2074229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6556/jesp.v2i2.2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007/s10902-023-00690-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jstor.org/stable/j.ctvpj7gm2.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6</Pages>
  <Words>1311</Words>
  <Characters>7478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 for Matthew Cashen</dc:title>
  <dc:creator>Christopher L. Holland</dc:creator>
  <cp:keywords>well-being, wellbeing, neo-Aristotelianism, happiness, virtue</cp:keywords>
  <cp:lastModifiedBy>Christopher Holland</cp:lastModifiedBy>
  <cp:revision>2</cp:revision>
  <dcterms:created xsi:type="dcterms:W3CDTF">2025-08-11T14:45:00Z</dcterms:created>
  <dcterms:modified xsi:type="dcterms:W3CDTF">2025-08-11T14:46:00Z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2023-11-04-IPA-Comments.yaml</vt:lpwstr>
  </property>
  <property fmtid="{D5CDD505-2E9C-101B-9397-08002B2CF9AE}" pid="6" name="by-affiliation">
    <vt:lpwstr/>
  </property>
  <property fmtid="{D5CDD505-2E9C-101B-9397-08002B2CF9AE}" pid="7" name="by-author">
    <vt:lpwstr/>
  </property>
  <property fmtid="{D5CDD505-2E9C-101B-9397-08002B2CF9AE}" pid="8" name="copyright">
    <vt:lpwstr/>
  </property>
  <property fmtid="{D5CDD505-2E9C-101B-9397-08002B2CF9AE}" pid="9" name="date">
    <vt:lpwstr>November 4, 2023</vt:lpwstr>
  </property>
  <property fmtid="{D5CDD505-2E9C-101B-9397-08002B2CF9AE}" pid="10" name="date-format">
    <vt:lpwstr>long</vt:lpwstr>
  </property>
  <property fmtid="{D5CDD505-2E9C-101B-9397-08002B2CF9AE}" pid="11" name="date-modified">
    <vt:lpwstr>August 11, 2025</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st">
    <vt:lpwstr>yes</vt:lpwstr>
  </property>
  <property fmtid="{D5CDD505-2E9C-101B-9397-08002B2CF9AE}" pid="17" name="modified-title">
    <vt:lpwstr>Last Modified</vt:lpwstr>
  </property>
  <property fmtid="{D5CDD505-2E9C-101B-9397-08002B2CF9AE}" pid="18" name="number-depth">
    <vt:lpwstr>3</vt:lpwstr>
  </property>
  <property fmtid="{D5CDD505-2E9C-101B-9397-08002B2CF9AE}" pid="19" name="subtitle">
    <vt:lpwstr>“Angela the Diplomat” Illinois Philosophical Association Conference</vt:lpwstr>
  </property>
  <property fmtid="{D5CDD505-2E9C-101B-9397-08002B2CF9AE}" pid="20" name="toc-title">
    <vt:lpwstr>Table of contents</vt:lpwstr>
  </property>
</Properties>
</file>